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INSTITUTIONAL ACADEMIC POLICY &amp; EVALUATION HANDBOOK</w:t>
      </w:r>
    </w:p>
    <w:p>
      <w:pPr>
        <w:pStyle w:val="Heading1"/>
      </w:pPr>
      <w:r>
        <w:t>Article 7: Capstone Project Governance &amp; Assessment Rules</w:t>
      </w:r>
    </w:p>
    <w:p>
      <w:r>
        <w:t>7.1 Mandatory Buffer Directive: A statutory buffer of no fewer than five (5) working days shall be enforced between deliverable cutoff and external viva defense to allow thorough faculty review.</w:t>
      </w:r>
    </w:p>
    <w:p>
      <w:r>
        <w:t>7.2 Conflicting Directives: Formal circulars issued by the Dean of Academic Affairs shall govern and supersede unratified committee communications.</w:t>
      </w:r>
    </w:p>
    <w:p>
      <w:r>
        <w:t>7.3 Logistics &amp; Examination Venue: All capstone final defenses shall be hosted in Seminar Hall A unless reallocated by formal deanery notification to Lab 302 AI Center.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Assessment Component</w:t>
            </w:r>
          </w:p>
        </w:tc>
        <w:tc>
          <w:tcPr>
            <w:tcW w:type="dxa" w:w="2880"/>
          </w:tcPr>
          <w:p>
            <w:r>
              <w:t>Weightage</w:t>
            </w:r>
          </w:p>
        </w:tc>
        <w:tc>
          <w:tcPr>
            <w:tcW w:type="dxa" w:w="2880"/>
          </w:tcPr>
          <w:p>
            <w:r>
              <w:t>Evaluating Body</w:t>
            </w:r>
          </w:p>
        </w:tc>
      </w:tr>
      <w:tr>
        <w:tc>
          <w:tcPr>
            <w:tcW w:type="dxa" w:w="2880"/>
          </w:tcPr>
          <w:p>
            <w:r>
              <w:t>Internal Faculty Review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Department Committee</w:t>
            </w:r>
          </w:p>
        </w:tc>
      </w:tr>
      <w:tr>
        <w:tc>
          <w:tcPr>
            <w:tcW w:type="dxa" w:w="2880"/>
          </w:tcPr>
          <w:p>
            <w:r>
              <w:t>Technical Implementation &amp; Code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Internal Mentors</w:t>
            </w:r>
          </w:p>
        </w:tc>
      </w:tr>
      <w:tr>
        <w:tc>
          <w:tcPr>
            <w:tcW w:type="dxa" w:w="2880"/>
          </w:tcPr>
          <w:p>
            <w:r>
              <w:t>External Viva Voce Defense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External University Panel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