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8C3C" w14:textId="77777777" w:rsidR="00D43E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D7D86E8" w14:textId="77777777" w:rsidR="00D43E9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23AD3319" w14:textId="77777777" w:rsidR="00D43E9F" w:rsidRDefault="00D43E9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3E9F" w14:paraId="0E7548EB" w14:textId="77777777">
        <w:tc>
          <w:tcPr>
            <w:tcW w:w="4508" w:type="dxa"/>
          </w:tcPr>
          <w:p w14:paraId="468E1522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3CD8507" w14:textId="750A0AD8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233983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233983">
              <w:rPr>
                <w:rFonts w:ascii="Calibri" w:eastAsia="Calibri" w:hAnsi="Calibri" w:cs="Calibri"/>
              </w:rPr>
              <w:t>6</w:t>
            </w:r>
          </w:p>
        </w:tc>
      </w:tr>
      <w:tr w:rsidR="00D43E9F" w14:paraId="73432FF5" w14:textId="77777777">
        <w:tc>
          <w:tcPr>
            <w:tcW w:w="4508" w:type="dxa"/>
          </w:tcPr>
          <w:p w14:paraId="447B1E03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3B2D3C" w14:textId="292AC79A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LTVIP2026TMIDS89610</w:t>
            </w:r>
          </w:p>
        </w:tc>
      </w:tr>
      <w:tr w:rsidR="00D43E9F" w14:paraId="312994E8" w14:textId="77777777">
        <w:tc>
          <w:tcPr>
            <w:tcW w:w="4508" w:type="dxa"/>
          </w:tcPr>
          <w:p w14:paraId="7393D00C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A15AEB" w14:textId="59C4AEF2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Empowering India: Analysis of Union Budget Allocations (2021–2024)</w:t>
            </w:r>
          </w:p>
        </w:tc>
      </w:tr>
      <w:tr w:rsidR="00D43E9F" w14:paraId="63C89E58" w14:textId="77777777">
        <w:tc>
          <w:tcPr>
            <w:tcW w:w="4508" w:type="dxa"/>
          </w:tcPr>
          <w:p w14:paraId="23425037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0C0FD8" w14:textId="11375CEF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226F7DBF" w14:textId="77777777" w:rsidR="00D43E9F" w:rsidRDefault="00D43E9F">
      <w:pPr>
        <w:spacing w:after="160" w:line="259" w:lineRule="auto"/>
        <w:rPr>
          <w:rFonts w:ascii="Calibri" w:eastAsia="Calibri" w:hAnsi="Calibri" w:cs="Calibri"/>
          <w:b/>
        </w:rPr>
      </w:pPr>
    </w:p>
    <w:p w14:paraId="2A37D1D1" w14:textId="77777777" w:rsidR="00D43E9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A791911" w14:textId="77777777" w:rsidR="00D43E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43E9F" w14:paraId="0B2BC031" w14:textId="77777777">
        <w:trPr>
          <w:trHeight w:val="557"/>
        </w:trPr>
        <w:tc>
          <w:tcPr>
            <w:tcW w:w="735" w:type="dxa"/>
          </w:tcPr>
          <w:p w14:paraId="52C3685B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2D875A54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3CA1183D" w14:textId="77777777" w:rsidR="00D43E9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43E9F" w14:paraId="1AB04EE2" w14:textId="77777777">
        <w:trPr>
          <w:trHeight w:val="817"/>
        </w:trPr>
        <w:tc>
          <w:tcPr>
            <w:tcW w:w="735" w:type="dxa"/>
          </w:tcPr>
          <w:p w14:paraId="2878DE16" w14:textId="77777777"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ECB401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6C2652C" w14:textId="647C620F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Category, Ministry, Scheme, Actual Revenue (2021–22), Actual Capital (2021–22), Total Budget (2021–22), Estimated Revenue (2022–23), Revised Estimates (2022–23), Budget Estimates (2023–24)</w:t>
            </w:r>
          </w:p>
        </w:tc>
      </w:tr>
      <w:tr w:rsidR="00D43E9F" w14:paraId="10C45EE0" w14:textId="77777777">
        <w:trPr>
          <w:trHeight w:val="817"/>
        </w:trPr>
        <w:tc>
          <w:tcPr>
            <w:tcW w:w="735" w:type="dxa"/>
          </w:tcPr>
          <w:p w14:paraId="78CEFE5A" w14:textId="77777777" w:rsidR="00D43E9F" w:rsidRDefault="00D43E9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800C320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04A62FE" w14:textId="772976C6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Removed null values, standardized column names, formatted currency values, verified data types (numeric/string), structured year-wise data</w:t>
            </w:r>
          </w:p>
        </w:tc>
      </w:tr>
      <w:tr w:rsidR="00D43E9F" w14:paraId="4DC9B6FB" w14:textId="77777777">
        <w:trPr>
          <w:trHeight w:val="817"/>
        </w:trPr>
        <w:tc>
          <w:tcPr>
            <w:tcW w:w="735" w:type="dxa"/>
          </w:tcPr>
          <w:p w14:paraId="58787E7B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1991CFC" w14:textId="77777777" w:rsidR="00D43E9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9F9C365" w14:textId="76813279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Year Filter (2021–22, 2022–23, 2023–24), Category Filter, Ministry Filter, Scheme Filter</w:t>
            </w:r>
          </w:p>
        </w:tc>
      </w:tr>
      <w:tr w:rsidR="00D43E9F" w14:paraId="6DD53124" w14:textId="77777777">
        <w:trPr>
          <w:trHeight w:val="817"/>
        </w:trPr>
        <w:tc>
          <w:tcPr>
            <w:tcW w:w="735" w:type="dxa"/>
          </w:tcPr>
          <w:p w14:paraId="4E7DAB5A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6237250" w14:textId="77777777" w:rsidR="00D43E9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58E54000" w14:textId="35E4B8DB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Total Investment (All Years), Revenue vs Capital Difference, Year-wise Growth %, Top 5 Ranking (Ministry/Scheme), Budget Share %</w:t>
            </w:r>
          </w:p>
        </w:tc>
      </w:tr>
      <w:tr w:rsidR="00D43E9F" w14:paraId="52BFF5DF" w14:textId="77777777">
        <w:trPr>
          <w:trHeight w:val="817"/>
        </w:trPr>
        <w:tc>
          <w:tcPr>
            <w:tcW w:w="735" w:type="dxa"/>
          </w:tcPr>
          <w:p w14:paraId="26CB168F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82D35C1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97403BB" w14:textId="764019E5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Visualizations / Graphs – 7 (Top 5 Schemes, Top 5 Ministries, Category-wise Budget, Department-wise Budget, Scheme-wise Budget, Total Investment KPI, Revenue vs Capital Comparison)</w:t>
            </w:r>
          </w:p>
        </w:tc>
      </w:tr>
      <w:tr w:rsidR="00D43E9F" w14:paraId="678C57EB" w14:textId="77777777">
        <w:trPr>
          <w:trHeight w:val="817"/>
        </w:trPr>
        <w:tc>
          <w:tcPr>
            <w:tcW w:w="735" w:type="dxa"/>
          </w:tcPr>
          <w:p w14:paraId="29485D28" w14:textId="77777777" w:rsidR="00D43E9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82A85A5" w14:textId="77777777" w:rsidR="00D4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255FB08" w14:textId="787232D5" w:rsidR="00D43E9F" w:rsidRDefault="007B6444">
            <w:pPr>
              <w:rPr>
                <w:rFonts w:ascii="Calibri" w:eastAsia="Calibri" w:hAnsi="Calibri" w:cs="Calibri"/>
              </w:rPr>
            </w:pPr>
            <w:r w:rsidRPr="007B6444">
              <w:rPr>
                <w:rFonts w:ascii="Calibri" w:eastAsia="Calibri" w:hAnsi="Calibri" w:cs="Calibri"/>
              </w:rPr>
              <w:t>No. of Scenes – 5 (Introduction, Category Analysis, Ministry Analysis, Scheme Analysis, Conclusion &amp; Business Insights)</w:t>
            </w:r>
          </w:p>
        </w:tc>
      </w:tr>
    </w:tbl>
    <w:p w14:paraId="0E15AF83" w14:textId="77777777" w:rsidR="00D43E9F" w:rsidRDefault="00D43E9F">
      <w:pPr>
        <w:spacing w:after="160" w:line="259" w:lineRule="auto"/>
        <w:rPr>
          <w:rFonts w:ascii="Calibri" w:eastAsia="Calibri" w:hAnsi="Calibri" w:cs="Calibri"/>
        </w:rPr>
      </w:pPr>
    </w:p>
    <w:p w14:paraId="70FADF99" w14:textId="77777777" w:rsidR="00D43E9F" w:rsidRDefault="00D43E9F"/>
    <w:p w14:paraId="6360D476" w14:textId="77777777" w:rsidR="00D43E9F" w:rsidRDefault="00D43E9F"/>
    <w:p w14:paraId="14C391A8" w14:textId="77777777" w:rsidR="00D43E9F" w:rsidRDefault="00D43E9F"/>
    <w:sectPr w:rsidR="00D43E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FC4"/>
    <w:multiLevelType w:val="multilevel"/>
    <w:tmpl w:val="FA02B9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5050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9F"/>
    <w:rsid w:val="00233983"/>
    <w:rsid w:val="007B6444"/>
    <w:rsid w:val="00BA31BA"/>
    <w:rsid w:val="00D43E9F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87F8"/>
  <w15:docId w15:val="{44A5EBD4-0C5E-47EB-9C94-AA5F5DE5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Katragadda Nagakavya</cp:lastModifiedBy>
  <cp:revision>3</cp:revision>
  <dcterms:created xsi:type="dcterms:W3CDTF">2026-02-16T15:56:00Z</dcterms:created>
  <dcterms:modified xsi:type="dcterms:W3CDTF">2026-02-18T16:45:00Z</dcterms:modified>
</cp:coreProperties>
</file>