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00DB3870" w:rsidR="009D3AA0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Proposed Solution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1F1F1C6D" w:rsidR="005B2106" w:rsidRPr="00AB20AC" w:rsidRDefault="003C7DAF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ascii="Calibri" w:eastAsia="Calibri" w:hAnsi="Calibri" w:cs="Calibri"/>
              </w:rPr>
              <w:t>February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1659667A" w:rsidR="000708AF" w:rsidRPr="00353869" w:rsidRDefault="006968DF" w:rsidP="000708AF">
            <w:r w:rsidRPr="006968DF">
              <w:t>LTVIP2026TMIDS89610</w:t>
            </w:r>
          </w:p>
        </w:tc>
      </w:tr>
      <w:tr w:rsidR="006968DF" w:rsidRPr="00AB20AC" w14:paraId="44337B49" w14:textId="77777777" w:rsidTr="005C23C7">
        <w:tc>
          <w:tcPr>
            <w:tcW w:w="4508" w:type="dxa"/>
          </w:tcPr>
          <w:p w14:paraId="2497EB79" w14:textId="171BDB5C" w:rsidR="006968DF" w:rsidRPr="00AB20AC" w:rsidRDefault="006968DF" w:rsidP="006968D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56CBD1D1" w:rsidR="006968DF" w:rsidRPr="00AB20AC" w:rsidRDefault="006968DF" w:rsidP="006968DF">
            <w:pPr>
              <w:rPr>
                <w:rFonts w:cstheme="minorHAnsi"/>
              </w:rPr>
            </w:pPr>
            <w:r>
              <w:t>E</w:t>
            </w:r>
            <w:r w:rsidRPr="00353869">
              <w:t xml:space="preserve">mpowering </w:t>
            </w:r>
            <w:r>
              <w:t>I</w:t>
            </w:r>
            <w:r w:rsidRPr="00353869">
              <w:t>ndia: analysing the evolution of union budget allocations for sustainable growth</w:t>
            </w:r>
          </w:p>
        </w:tc>
      </w:tr>
      <w:tr w:rsidR="006968DF" w:rsidRPr="00AB20AC" w14:paraId="64738A3C" w14:textId="77777777" w:rsidTr="005C23C7">
        <w:tc>
          <w:tcPr>
            <w:tcW w:w="4508" w:type="dxa"/>
          </w:tcPr>
          <w:p w14:paraId="060D7EC2" w14:textId="77777777" w:rsidR="006968DF" w:rsidRPr="00AB20AC" w:rsidRDefault="006968DF" w:rsidP="006968D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12216803" w:rsidR="006968DF" w:rsidRPr="00AB20AC" w:rsidRDefault="006968DF" w:rsidP="006968DF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35A4859B" w:rsidR="00DB6A25" w:rsidRPr="00AB20AC" w:rsidRDefault="00604389" w:rsidP="00DB6A25">
      <w:pPr>
        <w:rPr>
          <w:rFonts w:cstheme="minorHAnsi"/>
          <w:b/>
          <w:bCs/>
        </w:rPr>
      </w:pPr>
      <w:r w:rsidRPr="00AB20AC">
        <w:rPr>
          <w:rFonts w:cstheme="minorHAnsi"/>
          <w:b/>
          <w:bCs/>
        </w:rPr>
        <w:t>Proposed Solution Template</w:t>
      </w:r>
      <w:r w:rsidR="003C4A8E" w:rsidRPr="00AB20AC">
        <w:rPr>
          <w:rFonts w:cstheme="minorHAnsi"/>
          <w:b/>
          <w:bCs/>
        </w:rPr>
        <w:t>:</w:t>
      </w:r>
    </w:p>
    <w:p w14:paraId="52800EF1" w14:textId="3D7774C1" w:rsidR="003E3A16" w:rsidRDefault="00AB20AC" w:rsidP="00DB6A25">
      <w:pPr>
        <w:rPr>
          <w:rFonts w:cstheme="minorHAnsi"/>
        </w:rPr>
      </w:pPr>
      <w:r w:rsidRPr="00AB20AC">
        <w:rPr>
          <w:rFonts w:cstheme="minorHAnsi"/>
        </w:rPr>
        <w:t>Project team shall fill the following information in proposed solution template.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1"/>
        <w:gridCol w:w="3658"/>
        <w:gridCol w:w="4508"/>
      </w:tblGrid>
      <w:tr w:rsidR="00AB20AC" w:rsidRPr="00B76D2E" w14:paraId="108C8CBB" w14:textId="77777777" w:rsidTr="00B76D2E">
        <w:trPr>
          <w:trHeight w:val="557"/>
        </w:trPr>
        <w:tc>
          <w:tcPr>
            <w:tcW w:w="901" w:type="dxa"/>
          </w:tcPr>
          <w:p w14:paraId="17F37502" w14:textId="0579EF8F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S.No.</w:t>
            </w:r>
          </w:p>
        </w:tc>
        <w:tc>
          <w:tcPr>
            <w:tcW w:w="3658" w:type="dxa"/>
          </w:tcPr>
          <w:p w14:paraId="71DC8565" w14:textId="0A83517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Parameter</w:t>
            </w:r>
          </w:p>
        </w:tc>
        <w:tc>
          <w:tcPr>
            <w:tcW w:w="4508" w:type="dxa"/>
          </w:tcPr>
          <w:p w14:paraId="33F67252" w14:textId="09CF4712" w:rsidR="00AB20AC" w:rsidRPr="00B76D2E" w:rsidRDefault="00AB20AC" w:rsidP="00DB6A25">
            <w:pPr>
              <w:rPr>
                <w:rFonts w:cstheme="minorHAnsi"/>
                <w:b/>
                <w:bCs/>
              </w:rPr>
            </w:pPr>
            <w:r w:rsidRPr="00B76D2E">
              <w:rPr>
                <w:rFonts w:cstheme="minorHAnsi"/>
                <w:b/>
                <w:bCs/>
              </w:rPr>
              <w:t>Description</w:t>
            </w:r>
          </w:p>
        </w:tc>
      </w:tr>
      <w:tr w:rsidR="00AB20AC" w:rsidRPr="00AB20AC" w14:paraId="7D287D94" w14:textId="77777777" w:rsidTr="00B76D2E">
        <w:trPr>
          <w:trHeight w:val="817"/>
        </w:trPr>
        <w:tc>
          <w:tcPr>
            <w:tcW w:w="901" w:type="dxa"/>
          </w:tcPr>
          <w:p w14:paraId="7AFFACB5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D91A699" w14:textId="0D725178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Problem Statement (Problem to be solved)</w:t>
            </w:r>
          </w:p>
        </w:tc>
        <w:tc>
          <w:tcPr>
            <w:tcW w:w="4508" w:type="dxa"/>
          </w:tcPr>
          <w:p w14:paraId="17B10564" w14:textId="2D8D3392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Business stakeholders, renewable energy startups, EV manufacturers, and pharmaceutical companies lack clear and interactive insights into Union Budget allocations (2021–2024). The complexity of ministry-wise, category-wise, and scheme-wise budget data makes it difficult to analyze funding trends and make strategic investment decisions.</w:t>
            </w:r>
          </w:p>
        </w:tc>
      </w:tr>
      <w:tr w:rsidR="00AB20AC" w:rsidRPr="00AB20AC" w14:paraId="3C3A95E7" w14:textId="77777777" w:rsidTr="00B76D2E">
        <w:trPr>
          <w:trHeight w:val="817"/>
        </w:trPr>
        <w:tc>
          <w:tcPr>
            <w:tcW w:w="901" w:type="dxa"/>
          </w:tcPr>
          <w:p w14:paraId="15669612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1B97FB65" w14:textId="75AC2056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Idea / Solution description</w:t>
            </w:r>
          </w:p>
        </w:tc>
        <w:tc>
          <w:tcPr>
            <w:tcW w:w="4508" w:type="dxa"/>
          </w:tcPr>
          <w:p w14:paraId="309416C7" w14:textId="28913702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The project provides a SQL-based data management system integrated with Tableau dashboards to visualize Union Budget allocations. It presents ministry-wise, scheme-wise, category-wise, revenue vs capital comparisons, and year-wise trends through interactive dashboards and stories to support data-driven decision-making.</w:t>
            </w:r>
          </w:p>
        </w:tc>
      </w:tr>
      <w:tr w:rsidR="00AB20AC" w:rsidRPr="00AB20AC" w14:paraId="6E49BCD3" w14:textId="77777777" w:rsidTr="00B76D2E">
        <w:trPr>
          <w:trHeight w:val="787"/>
        </w:trPr>
        <w:tc>
          <w:tcPr>
            <w:tcW w:w="901" w:type="dxa"/>
          </w:tcPr>
          <w:p w14:paraId="2E958EF1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998D17" w14:textId="4367381C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Novelty / Uniqueness </w:t>
            </w:r>
          </w:p>
        </w:tc>
        <w:tc>
          <w:tcPr>
            <w:tcW w:w="4508" w:type="dxa"/>
          </w:tcPr>
          <w:p w14:paraId="2FC68785" w14:textId="398114CD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Combines multi-year Union Budget data (2021–2024) with structured SQL processing and interactive Tableau visualization. Includes calculated fields, filters, Top-5 comparisons, revenue vs capital analysis, and integrated web deployment using Flask for enhanced accessibility.</w:t>
            </w:r>
          </w:p>
        </w:tc>
      </w:tr>
      <w:tr w:rsidR="00AB20AC" w:rsidRPr="00AB20AC" w14:paraId="60541664" w14:textId="77777777" w:rsidTr="00B76D2E">
        <w:trPr>
          <w:trHeight w:val="817"/>
        </w:trPr>
        <w:tc>
          <w:tcPr>
            <w:tcW w:w="901" w:type="dxa"/>
          </w:tcPr>
          <w:p w14:paraId="1DDDDDBF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63909BDC" w14:textId="23CB74DA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>Social Impact / Customer Satisfaction</w:t>
            </w:r>
          </w:p>
        </w:tc>
        <w:tc>
          <w:tcPr>
            <w:tcW w:w="4508" w:type="dxa"/>
          </w:tcPr>
          <w:p w14:paraId="3DB83EF5" w14:textId="09B86392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Improves transparency and understanding of government budget allocations. Helps startups and industries align their strategies with national priorities such as renewable energy, EV adoption, and healthcare development. Encourages informed, data-driven strategic planning.</w:t>
            </w:r>
          </w:p>
        </w:tc>
      </w:tr>
      <w:tr w:rsidR="00AB20AC" w:rsidRPr="00AB20AC" w14:paraId="7966D0D3" w14:textId="77777777" w:rsidTr="00B76D2E">
        <w:trPr>
          <w:trHeight w:val="817"/>
        </w:trPr>
        <w:tc>
          <w:tcPr>
            <w:tcW w:w="901" w:type="dxa"/>
          </w:tcPr>
          <w:p w14:paraId="14EBEEEB" w14:textId="77777777" w:rsidR="00AB20AC" w:rsidRPr="00AB20AC" w:rsidRDefault="00AB20AC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3A397920" w14:textId="3724824D" w:rsidR="00AB20AC" w:rsidRPr="00AB20AC" w:rsidRDefault="00AB20AC" w:rsidP="00AB20AC">
            <w:pPr>
              <w:rPr>
                <w:rFonts w:cstheme="minorHAnsi"/>
              </w:rPr>
            </w:pPr>
            <w:r w:rsidRPr="00AB20AC">
              <w:rPr>
                <w:rFonts w:eastAsia="Arial" w:cstheme="minorHAnsi"/>
                <w:color w:val="222222"/>
                <w:lang w:val="en-US"/>
              </w:rPr>
              <w:t xml:space="preserve">Business Model </w:t>
            </w:r>
            <w:r w:rsidR="00604AAA">
              <w:rPr>
                <w:rFonts w:eastAsia="Arial" w:cstheme="minorHAnsi"/>
                <w:color w:val="222222"/>
                <w:lang w:val="en-US"/>
              </w:rPr>
              <w:t>(Revenue Model)</w:t>
            </w:r>
          </w:p>
        </w:tc>
        <w:tc>
          <w:tcPr>
            <w:tcW w:w="4508" w:type="dxa"/>
          </w:tcPr>
          <w:p w14:paraId="49E88C9A" w14:textId="2A26A3C4" w:rsidR="00AB20AC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Can be extended as a subscription-based analytics platform providing advanced sector-specific insights, premium forecasting features, downloadable reports, and API-based access for enterprises or research institutions.</w:t>
            </w:r>
          </w:p>
        </w:tc>
      </w:tr>
      <w:tr w:rsidR="00604AAA" w:rsidRPr="00AB20AC" w14:paraId="3A7E9CD7" w14:textId="77777777" w:rsidTr="00B76D2E">
        <w:trPr>
          <w:trHeight w:val="817"/>
        </w:trPr>
        <w:tc>
          <w:tcPr>
            <w:tcW w:w="901" w:type="dxa"/>
          </w:tcPr>
          <w:p w14:paraId="72E32043" w14:textId="77777777" w:rsidR="00604AAA" w:rsidRPr="00AB20AC" w:rsidRDefault="00604AAA" w:rsidP="00AB20AC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</w:rPr>
            </w:pPr>
          </w:p>
        </w:tc>
        <w:tc>
          <w:tcPr>
            <w:tcW w:w="3658" w:type="dxa"/>
          </w:tcPr>
          <w:p w14:paraId="0E599604" w14:textId="24459348" w:rsidR="00604AAA" w:rsidRPr="00AB20AC" w:rsidRDefault="00604AAA" w:rsidP="00AB20AC">
            <w:pPr>
              <w:rPr>
                <w:rFonts w:eastAsia="Arial" w:cstheme="minorHAnsi"/>
                <w:color w:val="222222"/>
                <w:lang w:val="en-US"/>
              </w:rPr>
            </w:pPr>
            <w:r>
              <w:rPr>
                <w:rFonts w:eastAsia="Arial" w:cstheme="minorHAnsi"/>
                <w:color w:val="222222"/>
                <w:lang w:val="en-US"/>
              </w:rPr>
              <w:t>Scalability of the Solution</w:t>
            </w:r>
          </w:p>
        </w:tc>
        <w:tc>
          <w:tcPr>
            <w:tcW w:w="4508" w:type="dxa"/>
          </w:tcPr>
          <w:p w14:paraId="1DDCCBAE" w14:textId="3632C9E2" w:rsidR="00604AAA" w:rsidRPr="00AB20AC" w:rsidRDefault="00353869" w:rsidP="00AB20AC">
            <w:pPr>
              <w:rPr>
                <w:rFonts w:cstheme="minorHAnsi"/>
              </w:rPr>
            </w:pPr>
            <w:r w:rsidRPr="00353869">
              <w:rPr>
                <w:rFonts w:cstheme="minorHAnsi"/>
              </w:rPr>
              <w:t>Easily scalable by incorporating additional fiscal years, integrating real-time government data sources, adding predictive analytics (ML models), sector-specific deep analysis, and expanding to state budget analysis for more granular insights.</w:t>
            </w:r>
          </w:p>
        </w:tc>
      </w:tr>
    </w:tbl>
    <w:p w14:paraId="2B3550E2" w14:textId="77777777" w:rsidR="00AB20AC" w:rsidRPr="00AB20AC" w:rsidRDefault="00AB20AC" w:rsidP="00DB6A25">
      <w:pPr>
        <w:rPr>
          <w:rFonts w:cstheme="minorHAnsi"/>
        </w:rPr>
      </w:pPr>
    </w:p>
    <w:sectPr w:rsidR="00AB20AC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353869"/>
    <w:rsid w:val="003C4A8E"/>
    <w:rsid w:val="003C7DAF"/>
    <w:rsid w:val="003E3A16"/>
    <w:rsid w:val="005B2106"/>
    <w:rsid w:val="00604389"/>
    <w:rsid w:val="00604AAA"/>
    <w:rsid w:val="006968DF"/>
    <w:rsid w:val="007A3AE5"/>
    <w:rsid w:val="007D3B4C"/>
    <w:rsid w:val="00975144"/>
    <w:rsid w:val="009D3AA0"/>
    <w:rsid w:val="00AB20AC"/>
    <w:rsid w:val="00AC6D16"/>
    <w:rsid w:val="00AC7F0A"/>
    <w:rsid w:val="00B76D2E"/>
    <w:rsid w:val="00DB6A25"/>
    <w:rsid w:val="00F8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Katragadda Nagakavya</cp:lastModifiedBy>
  <cp:revision>11</cp:revision>
  <dcterms:created xsi:type="dcterms:W3CDTF">2022-09-18T16:51:00Z</dcterms:created>
  <dcterms:modified xsi:type="dcterms:W3CDTF">2026-02-18T17:05:00Z</dcterms:modified>
</cp:coreProperties>
</file>