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1. Introduction</w:t>
      </w:r>
    </w:p>
    <w:p w:rsidR="00A77B3E">
      <w:pPr>
        <w:bidi w:val="0"/>
        <w:spacing w:before="240" w:after="24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This review examines a set of recent NBER working papers focusing on modern macroeconomic dynamics, fiscal and monetary policy transmission, structural frictions, and micro-heterogeneity. Rather than relying on simple representative-agent assumptions, contemporary research emphasizes how localized rigidities, information frictions, and structural constraints aggregate into economy-wide fluctuations.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2.</w:t>
      </w:r>
      <w:r>
        <w:rPr>
          <w:rFonts w:ascii="Calibri" w:eastAsia="Calibri" w:hAnsi="Calibri" w:cs="Calibri"/>
          <w:b/>
          <w:i w:val="0"/>
          <w:strike w:val="0"/>
          <w:color w:val="auto"/>
          <w:sz w:val="24"/>
          <w:highlight w:val="none"/>
          <w:u w:val="none"/>
          <w:vertAlign w:val="baseline"/>
          <w:rtl w:val="0"/>
        </w:rPr>
        <w:t xml:space="preserve"> Summary</w:t>
      </w:r>
      <w:r>
        <w:rPr>
          <w:rFonts w:ascii="Calibri" w:eastAsia="Calibri" w:hAnsi="Calibri" w:cs="Calibri"/>
          <w:b/>
          <w:i w:val="0"/>
          <w:strike w:val="0"/>
          <w:color w:val="auto"/>
          <w:sz w:val="24"/>
          <w:highlight w:val="none"/>
          <w:u w:val="none"/>
          <w:vertAlign w:val="baseline"/>
          <w:rtl w:val="0"/>
        </w:rPr>
        <w:t xml:space="preserve"> </w:t>
      </w:r>
      <w:r>
        <w:rPr>
          <w:rFonts w:ascii="Calibri" w:eastAsia="Calibri" w:hAnsi="Calibri" w:cs="Calibri"/>
          <w:b/>
          <w:i w:val="0"/>
          <w:strike w:val="0"/>
          <w:color w:val="auto"/>
          <w:sz w:val="24"/>
          <w:highlight w:val="none"/>
          <w:u w:val="none"/>
          <w:vertAlign w:val="baseline"/>
          <w:rtl w:val="0"/>
        </w:rPr>
        <w:t>of</w:t>
      </w:r>
      <w:r>
        <w:rPr>
          <w:rFonts w:ascii="Calibri" w:eastAsia="Calibri" w:hAnsi="Calibri" w:cs="Calibri"/>
          <w:b/>
          <w:i w:val="0"/>
          <w:strike w:val="0"/>
          <w:color w:val="auto"/>
          <w:sz w:val="24"/>
          <w:highlight w:val="none"/>
          <w:u w:val="none"/>
          <w:vertAlign w:val="baseline"/>
          <w:rtl w:val="0"/>
        </w:rPr>
        <w:t xml:space="preserve"> Matrix of Selected Papers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 xml:space="preserve"> </w:t>
      </w:r>
      <w:r>
        <w:rPr>
          <w:rFonts w:ascii="Calibri" w:eastAsia="Calibri" w:hAnsi="Calibri" w:cs="Calibri"/>
          <w:b/>
          <w:i w:val="0"/>
          <w:strike w:val="0"/>
          <w:color w:val="auto"/>
          <w:sz w:val="24"/>
          <w:highlight w:val="none"/>
          <w:u w:val="none"/>
          <w:vertAlign w:val="baseline"/>
          <w:rtl w:val="0"/>
        </w:rPr>
        <w:t xml:space="preserve">2a. </w:t>
      </w:r>
      <w:r>
        <w:rPr>
          <w:rFonts w:ascii="Calibri" w:eastAsia="Calibri" w:hAnsi="Calibri" w:cs="Calibri"/>
          <w:b/>
          <w:i w:val="0"/>
          <w:strike w:val="0"/>
          <w:color w:val="auto"/>
          <w:sz w:val="24"/>
          <w:highlight w:val="none"/>
          <w:u w:val="none"/>
          <w:vertAlign w:val="baseline"/>
          <w:rtl w:val="0"/>
        </w:rPr>
        <w:t>Algorithm-Driven SVARs: Navigating the Wilderness of Big Data (Yucheng Yang and Tao Zha)</w:t>
      </w:r>
    </w:p>
    <w:p w:rsidR="00A77B3E">
      <w:pPr>
        <w:bidi w:val="0"/>
        <w:spacing w:before="240" w:after="240" w:line="240" w:lineRule="auto"/>
        <w:ind w:left="1440" w:right="0" w:firstLine="72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Resolves the problem of subjective, hand-selected aggregate information sets in Structural VARs.</w:t>
      </w:r>
    </w:p>
    <w:p w:rsidR="00A77B3E">
      <w:pPr>
        <w:bidi w:val="0"/>
        <w:spacing w:before="240" w:after="240" w:line="240" w:lineRule="auto"/>
        <w:ind w:left="216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Uses credit, output, housing production, and monetary surprises analyzed via an algorithm-driven Bayesian out-of-sample selection criterion</w:t>
      </w:r>
      <w:r>
        <w:rPr>
          <w:rFonts w:ascii="Calibri" w:eastAsia="Calibri" w:hAnsi="Calibri" w:cs="Calibri"/>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and a joint proxy SVAR.</w:t>
      </w:r>
    </w:p>
    <w:p w:rsidR="00A77B3E">
      <w:pPr>
        <w:bidi w:val="0"/>
        <w:spacing w:before="240" w:after="240" w:line="240" w:lineRule="auto"/>
        <w:ind w:left="1440" w:right="0" w:firstLine="72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Output expansions are driven more by housing production than household credit alone; monetary policy transmits powerfully through the credit spread </w:t>
      </w:r>
      <w:r>
        <w:rPr>
          <w:rFonts w:ascii="Calibri" w:eastAsia="Calibri" w:hAnsi="Calibri" w:cs="Calibri"/>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and expected default risk channels.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2</w:t>
      </w:r>
      <w:r>
        <w:rPr>
          <w:rFonts w:ascii="Calibri" w:eastAsia="Calibri" w:hAnsi="Calibri" w:cs="Calibri"/>
          <w:b/>
          <w:i w:val="0"/>
          <w:strike w:val="0"/>
          <w:color w:val="auto"/>
          <w:sz w:val="24"/>
          <w:highlight w:val="none"/>
          <w:u w:val="none"/>
          <w:vertAlign w:val="baseline"/>
          <w:rtl w:val="0"/>
        </w:rPr>
        <w:t>b</w:t>
      </w:r>
      <w:r>
        <w:rPr>
          <w:rFonts w:ascii="Calibri" w:eastAsia="Calibri" w:hAnsi="Calibri" w:cs="Calibri"/>
          <w:b/>
          <w:i w:val="0"/>
          <w:strike w:val="0"/>
          <w:color w:val="auto"/>
          <w:sz w:val="24"/>
          <w:highlight w:val="none"/>
          <w:u w:val="none"/>
          <w:vertAlign w:val="baseline"/>
          <w:rtl w:val="0"/>
        </w:rPr>
        <w:t>. Balancing Growth in a Warming World (Adrien Bilal, Thibault Ingrand, and Diego R. Känzig)</w:t>
      </w:r>
    </w:p>
    <w:p w:rsidR="00A77B3E">
      <w:pPr>
        <w:bidi w:val="0"/>
        <w:spacing w:before="240" w:after="240" w:line="240" w:lineRule="auto"/>
        <w:ind w:left="1440" w:right="0" w:firstLine="72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Develops a theory of balanced growth and optimal climate policy within an integrated assessment framework.</w:t>
      </w:r>
    </w:p>
    <w:p w:rsidR="00A77B3E">
      <w:pPr>
        <w:bidi w:val="0"/>
        <w:spacing w:before="240" w:after="240" w:line="240" w:lineRule="auto"/>
        <w:ind w:left="1440" w:right="0" w:firstLine="72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Focuses on GDP, temperature, and carbon emissions using a dynamic general equilibrium integrated assessment model solved analytically.</w:t>
      </w:r>
    </w:p>
    <w:p w:rsidR="00A77B3E">
      <w:pPr>
        <w:bidi w:val="0"/>
        <w:spacing w:before="240" w:after="240" w:line="240" w:lineRule="auto"/>
        <w:ind w:left="216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Balanced growth remains achievable under climate change, though at a slower pace. High climate damages require optimal policy to cap temperature growth, raising long-term output growth and welfare.</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3</w:t>
      </w:r>
      <w:r>
        <w:rPr>
          <w:rFonts w:ascii="Calibri" w:eastAsia="Calibri" w:hAnsi="Calibri" w:cs="Calibri"/>
          <w:b/>
          <w:i w:val="0"/>
          <w:strike w:val="0"/>
          <w:color w:val="auto"/>
          <w:sz w:val="24"/>
          <w:highlight w:val="none"/>
          <w:u w:val="none"/>
          <w:vertAlign w:val="baseline"/>
          <w:rtl w:val="0"/>
        </w:rPr>
        <w:t>c</w:t>
      </w:r>
      <w:r>
        <w:rPr>
          <w:rFonts w:ascii="Calibri" w:eastAsia="Calibri" w:hAnsi="Calibri" w:cs="Calibri"/>
          <w:b/>
          <w:i w:val="0"/>
          <w:strike w:val="0"/>
          <w:color w:val="auto"/>
          <w:sz w:val="24"/>
          <w:highlight w:val="none"/>
          <w:u w:val="none"/>
          <w:vertAlign w:val="baseline"/>
          <w:rtl w:val="0"/>
        </w:rPr>
        <w:t>. Bank Runs With and Without Bank Failure (Sergio A. Correia, Stephan Luck, and Emil Verner)</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 xml:space="preserve">       </w:t>
      </w: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Analyzes the fundamental determinants of bank runs and their real economic consequences.</w:t>
      </w:r>
    </w:p>
    <w:p w:rsidR="00A77B3E">
      <w:pPr>
        <w:bidi w:val="0"/>
        <w:spacing w:before="240" w:after="240" w:line="240" w:lineRule="auto"/>
        <w:ind w:left="144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Utilizes LLMs applied to historical newspapers alongside national bank balance sheets and local projections.</w:t>
      </w:r>
    </w:p>
    <w:p w:rsidR="00A77B3E">
      <w:pPr>
        <w:bidi w:val="0"/>
        <w:spacing w:before="240" w:after="240" w:line="240" w:lineRule="auto"/>
        <w:ind w:left="144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Runs occur in both weak and strong banks due to aggregate news, but only trigger failures in fundamentally weak institutions, leading to severe local credit contractions.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4</w:t>
      </w:r>
      <w:r>
        <w:rPr>
          <w:rFonts w:ascii="Calibri" w:eastAsia="Calibri" w:hAnsi="Calibri" w:cs="Calibri"/>
          <w:b/>
          <w:i w:val="0"/>
          <w:strike w:val="0"/>
          <w:color w:val="auto"/>
          <w:sz w:val="24"/>
          <w:highlight w:val="none"/>
          <w:u w:val="none"/>
          <w:vertAlign w:val="baseline"/>
          <w:rtl w:val="0"/>
        </w:rPr>
        <w:t>d</w:t>
      </w:r>
      <w:r>
        <w:rPr>
          <w:rFonts w:ascii="Calibri" w:eastAsia="Calibri" w:hAnsi="Calibri" w:cs="Calibri"/>
          <w:b/>
          <w:i w:val="0"/>
          <w:strike w:val="0"/>
          <w:color w:val="auto"/>
          <w:sz w:val="24"/>
          <w:highlight w:val="none"/>
          <w:u w:val="none"/>
          <w:vertAlign w:val="baseline"/>
          <w:rtl w:val="0"/>
        </w:rPr>
        <w:t>. Beliefs about Government Debt Valuation and Sustainability (Ricardo Delao and Wenhao Li)</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Deconstructs subjective beliefs and cognitive models regarding the backing of government debt.</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Examines debt-to-GDP, primary surpluses, and safety demand using qualitative surveys and randomized information treatments.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Global safe-asset demand is perceived as the primary source of debt value; while information about rising debt raises short-term crisis concerns, it has weak transmission to portfolio adjustments.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5</w:t>
      </w:r>
      <w:r>
        <w:rPr>
          <w:rFonts w:ascii="Calibri" w:eastAsia="Calibri" w:hAnsi="Calibri" w:cs="Calibri"/>
          <w:b/>
          <w:i w:val="0"/>
          <w:strike w:val="0"/>
          <w:color w:val="auto"/>
          <w:sz w:val="24"/>
          <w:highlight w:val="none"/>
          <w:u w:val="none"/>
          <w:vertAlign w:val="baseline"/>
          <w:rtl w:val="0"/>
        </w:rPr>
        <w:t>e</w:t>
      </w:r>
      <w:r>
        <w:rPr>
          <w:rFonts w:ascii="Calibri" w:eastAsia="Calibri" w:hAnsi="Calibri" w:cs="Calibri"/>
          <w:b/>
          <w:i w:val="0"/>
          <w:strike w:val="0"/>
          <w:color w:val="auto"/>
          <w:sz w:val="24"/>
          <w:highlight w:val="none"/>
          <w:u w:val="none"/>
          <w:vertAlign w:val="baseline"/>
          <w:rtl w:val="0"/>
        </w:rPr>
        <w:t>. Common Risk Factors in the Returns on Stocks, Bonds (and Options), Redux (Zhongtian Chen et al.)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Establishes common factor structures and measures market integration across assets.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w:t>
      </w:r>
      <w:r>
        <w:rPr>
          <w:rFonts w:ascii="Calibri" w:eastAsia="Calibri" w:hAnsi="Calibri" w:cs="Calibri"/>
          <w:b/>
          <w:i w:val="0"/>
          <w:strike w:val="0"/>
          <w:color w:val="auto"/>
          <w:sz w:val="24"/>
          <w:highlight w:val="none"/>
          <w:u w:val="none"/>
          <w:vertAlign w:val="baseline"/>
          <w:rtl w:val="0"/>
        </w:rPr>
        <w:t>r</w:t>
      </w:r>
      <w:r>
        <w:rPr>
          <w:rFonts w:ascii="Calibri" w:eastAsia="Calibri" w:hAnsi="Calibri" w:cs="Calibri"/>
          <w:b/>
          <w:i w:val="0"/>
          <w:strike w:val="0"/>
          <w:color w:val="auto"/>
          <w:sz w:val="24"/>
          <w:highlight w:val="none"/>
          <w:u w:val="none"/>
          <w:vertAlign w:val="baseline"/>
          <w:rtl w:val="0"/>
        </w:rPr>
        <w:t>iables &amp; Method:</w:t>
      </w:r>
      <w:r>
        <w:rPr>
          <w:rFonts w:ascii="Calibri" w:eastAsia="Calibri" w:hAnsi="Calibri" w:cs="Calibri"/>
          <w:b w:val="0"/>
          <w:i w:val="0"/>
          <w:strike w:val="0"/>
          <w:color w:val="auto"/>
          <w:sz w:val="24"/>
          <w:highlight w:val="none"/>
          <w:u w:val="none"/>
          <w:vertAlign w:val="baseline"/>
          <w:rtl w:val="0"/>
        </w:rPr>
        <w:t xml:space="preserve"> Evaluates excess returns across stocks, corporate bonds, and options using regressed-PCA on an unbalanced panel.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A strong common factor structure connects stocks and bonds, but the option market is significantly segmented, explaining high Sharpe ratios in joint portfolios.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6</w:t>
      </w:r>
      <w:r>
        <w:rPr>
          <w:rFonts w:ascii="Calibri" w:eastAsia="Calibri" w:hAnsi="Calibri" w:cs="Calibri"/>
          <w:b/>
          <w:i w:val="0"/>
          <w:strike w:val="0"/>
          <w:color w:val="auto"/>
          <w:sz w:val="24"/>
          <w:highlight w:val="none"/>
          <w:u w:val="none"/>
          <w:vertAlign w:val="baseline"/>
          <w:rtl w:val="0"/>
        </w:rPr>
        <w:t>f</w:t>
      </w:r>
      <w:r>
        <w:rPr>
          <w:rFonts w:ascii="Calibri" w:eastAsia="Calibri" w:hAnsi="Calibri" w:cs="Calibri"/>
          <w:b/>
          <w:i w:val="0"/>
          <w:strike w:val="0"/>
          <w:color w:val="auto"/>
          <w:sz w:val="24"/>
          <w:highlight w:val="none"/>
          <w:u w:val="none"/>
          <w:vertAlign w:val="baseline"/>
          <w:rtl w:val="0"/>
        </w:rPr>
        <w:t>. Firm Exit and Financial Frictions (Gideon Bornstein and Laura Castillo-Martinez)</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Quantifies how much firm exit is driven by financial constraints rather than productivity.</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Analyzes firm exit and indebtedness using a quantitative firm dynamics model calibrated to U.S. Census micro-data.</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Financial frictions generate excess exit, causing major TFP and welfare losses during financial crises. Direct grants prevent more exit on impact than loans due to debt overhang, though loans are more cost-effective.</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7</w:t>
      </w:r>
      <w:r>
        <w:rPr>
          <w:rFonts w:ascii="Calibri" w:eastAsia="Calibri" w:hAnsi="Calibri" w:cs="Calibri"/>
          <w:b/>
          <w:i w:val="0"/>
          <w:strike w:val="0"/>
          <w:color w:val="auto"/>
          <w:sz w:val="24"/>
          <w:highlight w:val="none"/>
          <w:u w:val="none"/>
          <w:vertAlign w:val="baseline"/>
          <w:rtl w:val="0"/>
        </w:rPr>
        <w:t>g</w:t>
      </w:r>
      <w:r>
        <w:rPr>
          <w:rFonts w:ascii="Calibri" w:eastAsia="Calibri" w:hAnsi="Calibri" w:cs="Calibri"/>
          <w:b/>
          <w:i w:val="0"/>
          <w:strike w:val="0"/>
          <w:color w:val="auto"/>
          <w:sz w:val="24"/>
          <w:highlight w:val="none"/>
          <w:u w:val="none"/>
          <w:vertAlign w:val="baseline"/>
          <w:rtl w:val="0"/>
        </w:rPr>
        <w:t>. How Does Monetary and Fiscal Policy Affect the Economy in the Face of Large Shocks? (Greg Kaplan and Ken Miyahara)</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Quantifies policy impacts during the large economic shocks of the 2020s.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Studies GDP, inflation, and debt using a Heterogeneous Agent New Keynesian (HANK) model with state-dependent pricing.</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Unfunded fiscal transfers prevented deflation and boosted output but left the price level permanently higher, while interest rate changes had minimal impact.</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8</w:t>
      </w:r>
      <w:r>
        <w:rPr>
          <w:rFonts w:ascii="Calibri" w:eastAsia="Calibri" w:hAnsi="Calibri" w:cs="Calibri"/>
          <w:b/>
          <w:i w:val="0"/>
          <w:strike w:val="0"/>
          <w:color w:val="auto"/>
          <w:sz w:val="24"/>
          <w:highlight w:val="none"/>
          <w:u w:val="none"/>
          <w:vertAlign w:val="baseline"/>
          <w:rtl w:val="0"/>
        </w:rPr>
        <w:t>h</w:t>
      </w:r>
      <w:r>
        <w:rPr>
          <w:rFonts w:ascii="Calibri" w:eastAsia="Calibri" w:hAnsi="Calibri" w:cs="Calibri"/>
          <w:b/>
          <w:i w:val="0"/>
          <w:strike w:val="0"/>
          <w:color w:val="auto"/>
          <w:sz w:val="24"/>
          <w:highlight w:val="none"/>
          <w:u w:val="none"/>
          <w:vertAlign w:val="baseline"/>
          <w:rtl w:val="0"/>
        </w:rPr>
        <w:t>. How Steep is the Phillips Curve in Developing Economies? (Juan Herreño, Noémie Pinardon-Touati, and Malte Thie)</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Estimates the output-based Phillips curve slope and its rigidities in India.</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Uses firm-level micro-data and district-level IV designs to study inflation, marginal costs, and input price indices.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The Indian Phillips curve is exceptionally steep due to less frequent price stickiness and steep aggregate marginal cost curves.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9</w:t>
      </w:r>
      <w:r>
        <w:rPr>
          <w:rFonts w:ascii="Calibri" w:eastAsia="Calibri" w:hAnsi="Calibri" w:cs="Calibri"/>
          <w:b/>
          <w:i w:val="0"/>
          <w:strike w:val="0"/>
          <w:color w:val="auto"/>
          <w:sz w:val="24"/>
          <w:highlight w:val="none"/>
          <w:u w:val="none"/>
          <w:vertAlign w:val="baseline"/>
          <w:rtl w:val="0"/>
        </w:rPr>
        <w:t>i</w:t>
      </w:r>
      <w:r>
        <w:rPr>
          <w:rFonts w:ascii="Calibri" w:eastAsia="Calibri" w:hAnsi="Calibri" w:cs="Calibri"/>
          <w:b/>
          <w:i w:val="0"/>
          <w:strike w:val="0"/>
          <w:color w:val="auto"/>
          <w:sz w:val="24"/>
          <w:highlight w:val="none"/>
          <w:u w:val="none"/>
          <w:vertAlign w:val="baseline"/>
          <w:rtl w:val="0"/>
        </w:rPr>
        <w:t>. Idea Rents and Firm Growth (Timo Boppart et al.)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Quantifies individual firm contributions to aggregate productivity through dispersion in growth opportunities.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Uses an endogenous growth model with stochastic innovation step sizes calibrated via SMM.</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Gibrat's Law is violated; aggregate growth is heavily concentrated in a tiny fraction of highly productive, innovative firms.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1</w:t>
      </w:r>
      <w:r>
        <w:rPr>
          <w:rFonts w:ascii="Calibri" w:eastAsia="Calibri" w:hAnsi="Calibri" w:cs="Calibri"/>
          <w:b/>
          <w:i w:val="0"/>
          <w:strike w:val="0"/>
          <w:color w:val="auto"/>
          <w:sz w:val="24"/>
          <w:highlight w:val="none"/>
          <w:u w:val="none"/>
          <w:vertAlign w:val="baseline"/>
          <w:rtl w:val="0"/>
        </w:rPr>
        <w:t>0</w:t>
      </w:r>
      <w:r>
        <w:rPr>
          <w:rFonts w:ascii="Calibri" w:eastAsia="Calibri" w:hAnsi="Calibri" w:cs="Calibri"/>
          <w:b/>
          <w:i w:val="0"/>
          <w:strike w:val="0"/>
          <w:color w:val="auto"/>
          <w:sz w:val="24"/>
          <w:highlight w:val="none"/>
          <w:u w:val="none"/>
          <w:vertAlign w:val="baseline"/>
          <w:rtl w:val="0"/>
        </w:rPr>
        <w:t>j</w:t>
      </w:r>
      <w:r>
        <w:rPr>
          <w:rFonts w:ascii="Calibri" w:eastAsia="Calibri" w:hAnsi="Calibri" w:cs="Calibri"/>
          <w:b/>
          <w:i w:val="0"/>
          <w:strike w:val="0"/>
          <w:color w:val="auto"/>
          <w:sz w:val="24"/>
          <w:highlight w:val="none"/>
          <w:u w:val="none"/>
          <w:vertAlign w:val="baseline"/>
          <w:rtl w:val="0"/>
        </w:rPr>
        <w:t>. Immigration and Macroeconomic Outcomes in OECD Countries (Gaetano Basso, Mitali R. Mathur, and Giovanni Peri)</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Investigates the medium-to-long-term macroeconomic impacts of immigration on receiving economies.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Employs panel local projections and shift-share IV regressions across OECD countries.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Loosening external migration regulations predicts positive long-run GDP per worker and TFP growth without any saturation effects.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11</w:t>
      </w:r>
      <w:r>
        <w:rPr>
          <w:rFonts w:ascii="Calibri" w:eastAsia="Calibri" w:hAnsi="Calibri" w:cs="Calibri"/>
          <w:b/>
          <w:i w:val="0"/>
          <w:strike w:val="0"/>
          <w:color w:val="auto"/>
          <w:sz w:val="24"/>
          <w:highlight w:val="none"/>
          <w:u w:val="none"/>
          <w:vertAlign w:val="baseline"/>
          <w:rtl w:val="0"/>
        </w:rPr>
        <w:t>k</w:t>
      </w:r>
      <w:r>
        <w:rPr>
          <w:rFonts w:ascii="Calibri" w:eastAsia="Calibri" w:hAnsi="Calibri" w:cs="Calibri"/>
          <w:b/>
          <w:i w:val="0"/>
          <w:strike w:val="0"/>
          <w:color w:val="auto"/>
          <w:sz w:val="24"/>
          <w:highlight w:val="none"/>
          <w:u w:val="none"/>
          <w:vertAlign w:val="baseline"/>
          <w:rtl w:val="0"/>
        </w:rPr>
        <w:t>. Incomplete Information and Self-Fulfilling Inflation Dynamics (Jess Benhabib, Pengfei Wang, and Yi Wen)</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Demonstrates how consumer sentiment drives self-fulfilling inflation using an island model.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Implements a monopolistic competition DSGE framework where firms receive noisy signals about costs.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The model generates multiple sunspot equilibria, showing that aggregate inflation can fluctuate purely due to sentiment rather than money supply changes.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12</w:t>
      </w:r>
      <w:r>
        <w:rPr>
          <w:rFonts w:ascii="Calibri" w:eastAsia="Calibri" w:hAnsi="Calibri" w:cs="Calibri"/>
          <w:b/>
          <w:i w:val="0"/>
          <w:strike w:val="0"/>
          <w:color w:val="auto"/>
          <w:sz w:val="24"/>
          <w:highlight w:val="none"/>
          <w:u w:val="none"/>
          <w:vertAlign w:val="baseline"/>
          <w:rtl w:val="0"/>
        </w:rPr>
        <w:t>l</w:t>
      </w:r>
      <w:r>
        <w:rPr>
          <w:rFonts w:ascii="Calibri" w:eastAsia="Calibri" w:hAnsi="Calibri" w:cs="Calibri"/>
          <w:b/>
          <w:i w:val="0"/>
          <w:strike w:val="0"/>
          <w:color w:val="auto"/>
          <w:sz w:val="24"/>
          <w:highlight w:val="none"/>
          <w:u w:val="none"/>
          <w:vertAlign w:val="baseline"/>
          <w:rtl w:val="0"/>
        </w:rPr>
        <w:t>. Information and Macroeconomic Expectations: Global Evidence (Francesco D’Acunto and Michael Weber)</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Characterizes how information sources shape macroeconomic perceptions and expectations across countries.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Analyzes a global survey of 47,000 respondents evaluating beliefs against realized inflation.</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Consumers relying on local sources form biased expectations, whereas those using aggregate sources are more accurate; institutional trust heavily drives information sorting.</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13</w:t>
      </w:r>
      <w:r>
        <w:rPr>
          <w:rFonts w:ascii="Calibri" w:eastAsia="Calibri" w:hAnsi="Calibri" w:cs="Calibri"/>
          <w:b/>
          <w:i w:val="0"/>
          <w:strike w:val="0"/>
          <w:color w:val="auto"/>
          <w:sz w:val="24"/>
          <w:highlight w:val="none"/>
          <w:u w:val="none"/>
          <w:vertAlign w:val="baseline"/>
          <w:rtl w:val="0"/>
        </w:rPr>
        <w:t>m</w:t>
      </w:r>
      <w:r>
        <w:rPr>
          <w:rFonts w:ascii="Calibri" w:eastAsia="Calibri" w:hAnsi="Calibri" w:cs="Calibri"/>
          <w:b/>
          <w:i w:val="0"/>
          <w:strike w:val="0"/>
          <w:color w:val="auto"/>
          <w:sz w:val="24"/>
          <w:highlight w:val="none"/>
          <w:u w:val="none"/>
          <w:vertAlign w:val="baseline"/>
          <w:rtl w:val="0"/>
        </w:rPr>
        <w:t>. Labor Market Power with Worker and Firm Heterogeneity (David W. Berger et al.)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Integrates labor market power and progressive taxation to study wage markdowns and optimal tax design.</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Uses a discrete choice labor supply framework estimated on administrative matched worker-firm data.</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Monopsony and wealth-elasticity differences account for over 80% of wage markdowns; monopsony amplifies the efficiency costs of tax progressivity, lowering optimal progressivity parameters.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14</w:t>
      </w:r>
      <w:r>
        <w:rPr>
          <w:rFonts w:ascii="Calibri" w:eastAsia="Calibri" w:hAnsi="Calibri" w:cs="Calibri"/>
          <w:b/>
          <w:i w:val="0"/>
          <w:strike w:val="0"/>
          <w:color w:val="auto"/>
          <w:sz w:val="24"/>
          <w:highlight w:val="none"/>
          <w:u w:val="none"/>
          <w:vertAlign w:val="baseline"/>
          <w:rtl w:val="0"/>
        </w:rPr>
        <w:t>n</w:t>
      </w:r>
      <w:r>
        <w:rPr>
          <w:rFonts w:ascii="Calibri" w:eastAsia="Calibri" w:hAnsi="Calibri" w:cs="Calibri"/>
          <w:b/>
          <w:i w:val="0"/>
          <w:strike w:val="0"/>
          <w:color w:val="auto"/>
          <w:sz w:val="24"/>
          <w:highlight w:val="none"/>
          <w:u w:val="none"/>
          <w:vertAlign w:val="baseline"/>
          <w:rtl w:val="0"/>
        </w:rPr>
        <w:t>. Monetary Policy in Mandarin Capitalism (Jeffery Chang and Wei Xiong)</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Analyzes China's transition from aggregate money targets to structural credit tools.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Employs a VAR framework on Chinese quarterly data and multi-sector general equilibrium models.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Preferential credit directed toward high-markup sectors worsens within-sector firm selection but raises aggregate productivity by shifting market shares.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15</w:t>
      </w:r>
      <w:r>
        <w:rPr>
          <w:rFonts w:ascii="Calibri" w:eastAsia="Calibri" w:hAnsi="Calibri" w:cs="Calibri"/>
          <w:b/>
          <w:i w:val="0"/>
          <w:strike w:val="0"/>
          <w:color w:val="auto"/>
          <w:sz w:val="24"/>
          <w:highlight w:val="none"/>
          <w:u w:val="none"/>
          <w:vertAlign w:val="baseline"/>
          <w:rtl w:val="0"/>
        </w:rPr>
        <w:t>o</w:t>
      </w:r>
      <w:r>
        <w:rPr>
          <w:rFonts w:ascii="Calibri" w:eastAsia="Calibri" w:hAnsi="Calibri" w:cs="Calibri"/>
          <w:b/>
          <w:i w:val="0"/>
          <w:strike w:val="0"/>
          <w:color w:val="auto"/>
          <w:sz w:val="24"/>
          <w:highlight w:val="none"/>
          <w:u w:val="none"/>
          <w:vertAlign w:val="baseline"/>
          <w:rtl w:val="0"/>
        </w:rPr>
        <w:t>. Monetary-Fiscal Interactions: A Reappraisal (George-Marios Angeletos et al.)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Re-evaluates theoretical foundations of monetary-fiscal interactions and equilibrium indeterminacy.</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Uses game-theoretic representations of New Keynesian economies under a refinement of far-ahead expectations.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Income is demand-determined and lifetime MPC is 1, creating an infinite feedback loop; fiscal policy operates through short-run MPC payoff channels rather than active/passive solvency mechanics.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16</w:t>
      </w:r>
      <w:r>
        <w:rPr>
          <w:rFonts w:ascii="Calibri" w:eastAsia="Calibri" w:hAnsi="Calibri" w:cs="Calibri"/>
          <w:b/>
          <w:i w:val="0"/>
          <w:strike w:val="0"/>
          <w:color w:val="auto"/>
          <w:sz w:val="24"/>
          <w:highlight w:val="none"/>
          <w:u w:val="none"/>
          <w:vertAlign w:val="baseline"/>
          <w:rtl w:val="0"/>
        </w:rPr>
        <w:t>p</w:t>
      </w:r>
      <w:r>
        <w:rPr>
          <w:rFonts w:ascii="Calibri" w:eastAsia="Calibri" w:hAnsi="Calibri" w:cs="Calibri"/>
          <w:b/>
          <w:i w:val="0"/>
          <w:strike w:val="0"/>
          <w:color w:val="auto"/>
          <w:sz w:val="24"/>
          <w:highlight w:val="none"/>
          <w:u w:val="none"/>
          <w:vertAlign w:val="baseline"/>
          <w:rtl w:val="0"/>
        </w:rPr>
        <w:t>. Observability and Social Interactions in Consumption (Tullio Jappelli and Luigi Pistaferri)</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Measures how the marginal propensity to consume (MPC) responds to income visibility and peer interactions.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Implements a randomized survey experiment on Italian employees varying windfall observability.</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Direct observability of an idiosyncratic windfall reduces the MPC due to norm-driven moderation, whereas a common shock increases the MPC via positive social spillovers.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17</w:t>
      </w:r>
      <w:r>
        <w:rPr>
          <w:rFonts w:ascii="Calibri" w:eastAsia="Calibri" w:hAnsi="Calibri" w:cs="Calibri"/>
          <w:b/>
          <w:i w:val="0"/>
          <w:strike w:val="0"/>
          <w:color w:val="auto"/>
          <w:sz w:val="24"/>
          <w:highlight w:val="none"/>
          <w:u w:val="none"/>
          <w:vertAlign w:val="baseline"/>
          <w:rtl w:val="0"/>
        </w:rPr>
        <w:t>q</w:t>
      </w:r>
      <w:r>
        <w:rPr>
          <w:rFonts w:ascii="Calibri" w:eastAsia="Calibri" w:hAnsi="Calibri" w:cs="Calibri"/>
          <w:b/>
          <w:i w:val="0"/>
          <w:strike w:val="0"/>
          <w:color w:val="auto"/>
          <w:sz w:val="24"/>
          <w:highlight w:val="none"/>
          <w:u w:val="none"/>
          <w:vertAlign w:val="baseline"/>
          <w:rtl w:val="0"/>
        </w:rPr>
        <w:t>. Productivity, Crude Oil Supply Shocks and the Economy of Iran (Bahram Adrangi et al.)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Analyzes the transmission of crude oil supply shocks in a resource-dependent economy.</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Uses a log-linearized RBC DSGE model incorporating oil as a production input.</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Exogenous crude oil supply shocks act as severe contractionary real shocks that alter productivity and wages, with domestic price adjustments serving as key transmission channels.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18</w:t>
      </w:r>
      <w:r>
        <w:rPr>
          <w:rFonts w:ascii="Calibri" w:eastAsia="Calibri" w:hAnsi="Calibri" w:cs="Calibri"/>
          <w:b/>
          <w:i w:val="0"/>
          <w:strike w:val="0"/>
          <w:color w:val="auto"/>
          <w:sz w:val="24"/>
          <w:highlight w:val="none"/>
          <w:u w:val="none"/>
          <w:vertAlign w:val="baseline"/>
          <w:rtl w:val="0"/>
        </w:rPr>
        <w:t>r</w:t>
      </w:r>
      <w:r>
        <w:rPr>
          <w:rFonts w:ascii="Calibri" w:eastAsia="Calibri" w:hAnsi="Calibri" w:cs="Calibri"/>
          <w:b/>
          <w:i w:val="0"/>
          <w:strike w:val="0"/>
          <w:color w:val="auto"/>
          <w:sz w:val="24"/>
          <w:highlight w:val="none"/>
          <w:u w:val="none"/>
          <w:vertAlign w:val="baseline"/>
          <w:rtl w:val="0"/>
        </w:rPr>
        <w:t>. Reconstructing a Century of U.S. Corporate Bonds (Mohammad Ghaderi et al.)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Builds a historical database of U.S. corporate bonds to measure credit risk premiums over a century.</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Digitizes archival materials (1895-2022) combined with duration-matched Treasury portfolios and local projections.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Subtracting duration risk reveals a highly cyclical credit risk premium; the long-run GZ spread is a powerful predictor of NBER recessions up to 12 months ahead.</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19</w:t>
      </w:r>
      <w:r>
        <w:rPr>
          <w:rFonts w:ascii="Calibri" w:eastAsia="Calibri" w:hAnsi="Calibri" w:cs="Calibri"/>
          <w:b/>
          <w:i w:val="0"/>
          <w:strike w:val="0"/>
          <w:color w:val="auto"/>
          <w:sz w:val="24"/>
          <w:highlight w:val="none"/>
          <w:u w:val="none"/>
          <w:vertAlign w:val="baseline"/>
          <w:rtl w:val="0"/>
        </w:rPr>
        <w:t>s</w:t>
      </w:r>
      <w:r>
        <w:rPr>
          <w:rFonts w:ascii="Calibri" w:eastAsia="Calibri" w:hAnsi="Calibri" w:cs="Calibri"/>
          <w:b/>
          <w:i w:val="0"/>
          <w:strike w:val="0"/>
          <w:color w:val="auto"/>
          <w:sz w:val="24"/>
          <w:highlight w:val="none"/>
          <w:u w:val="none"/>
          <w:vertAlign w:val="baseline"/>
          <w:rtl w:val="0"/>
        </w:rPr>
        <w:t>. Sticky Wage Norms and the Real Wage Cost of Unexpected Inflation (Erik Hurst et al.)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Quantifies real wage consequences of unexpected inflation on job-stayers versus changers.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Analyzes administrative individual panel payroll data from ADP covering over 16 million workers.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Job-stayers suffer persistent real wage losses due to upwardly rigid nominal wage norms and sticky annual reviews, whereas job-changers keep pace with inflation.</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20</w:t>
      </w:r>
      <w:r>
        <w:rPr>
          <w:rFonts w:ascii="Calibri" w:eastAsia="Calibri" w:hAnsi="Calibri" w:cs="Calibri"/>
          <w:b/>
          <w:i w:val="0"/>
          <w:strike w:val="0"/>
          <w:color w:val="auto"/>
          <w:sz w:val="24"/>
          <w:highlight w:val="none"/>
          <w:u w:val="none"/>
          <w:vertAlign w:val="baseline"/>
          <w:rtl w:val="0"/>
        </w:rPr>
        <w:t>t</w:t>
      </w:r>
      <w:r>
        <w:rPr>
          <w:rFonts w:ascii="Calibri" w:eastAsia="Calibri" w:hAnsi="Calibri" w:cs="Calibri"/>
          <w:b/>
          <w:i w:val="0"/>
          <w:strike w:val="0"/>
          <w:color w:val="auto"/>
          <w:sz w:val="24"/>
          <w:highlight w:val="none"/>
          <w:u w:val="none"/>
          <w:vertAlign w:val="baseline"/>
          <w:rtl w:val="0"/>
        </w:rPr>
        <w:t>. Tariffs, Investment, and the Missing Trade Collapse (Francesco Ferrante et al.)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Models impacts of tariff changes and explains why recent tariffs did not trigger a trade collapse.</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Uses a New Keynesian open-economy general equilibrium model with multi-layered production chains and investment shocks.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An AI-driven infrastructure and equipment boom offset the contractionary, trade-reducing effects of tariffs by supporting import-dependent capital goods demand.</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21</w:t>
      </w:r>
      <w:r>
        <w:rPr>
          <w:rFonts w:ascii="Calibri" w:eastAsia="Calibri" w:hAnsi="Calibri" w:cs="Calibri"/>
          <w:b/>
          <w:i w:val="0"/>
          <w:strike w:val="0"/>
          <w:color w:val="auto"/>
          <w:sz w:val="24"/>
          <w:highlight w:val="none"/>
          <w:u w:val="none"/>
          <w:vertAlign w:val="baseline"/>
          <w:rtl w:val="0"/>
        </w:rPr>
        <w:t>u</w:t>
      </w:r>
      <w:r>
        <w:rPr>
          <w:rFonts w:ascii="Calibri" w:eastAsia="Calibri" w:hAnsi="Calibri" w:cs="Calibri"/>
          <w:b/>
          <w:i w:val="0"/>
          <w:strike w:val="0"/>
          <w:color w:val="auto"/>
          <w:sz w:val="24"/>
          <w:highlight w:val="none"/>
          <w:u w:val="none"/>
          <w:vertAlign w:val="baseline"/>
          <w:rtl w:val="0"/>
        </w:rPr>
        <w:t>. Temperature Fluctuations and Economic Conditions: Evidence from Weekly U.S. Data (Kimberly A. Berg et al.)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Documents how high-frequency temperature shocks affect regional economic conditions.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Uses weekly state-level panel local projections matched to a structural labor search model.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Temperature shocks induce a short-run economic improvement followed by a persistent medium-run contraction driven by extensive margin labor separations and heat-damage accumulation.</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22</w:t>
      </w:r>
      <w:r>
        <w:rPr>
          <w:rFonts w:ascii="Calibri" w:eastAsia="Calibri" w:hAnsi="Calibri" w:cs="Calibri"/>
          <w:b/>
          <w:i w:val="0"/>
          <w:strike w:val="0"/>
          <w:color w:val="auto"/>
          <w:sz w:val="24"/>
          <w:highlight w:val="none"/>
          <w:u w:val="none"/>
          <w:vertAlign w:val="baseline"/>
          <w:rtl w:val="0"/>
        </w:rPr>
        <w:t>v</w:t>
      </w:r>
      <w:r>
        <w:rPr>
          <w:rFonts w:ascii="Calibri" w:eastAsia="Calibri" w:hAnsi="Calibri" w:cs="Calibri"/>
          <w:b/>
          <w:i w:val="0"/>
          <w:strike w:val="0"/>
          <w:color w:val="auto"/>
          <w:sz w:val="24"/>
          <w:highlight w:val="none"/>
          <w:u w:val="none"/>
          <w:vertAlign w:val="baseline"/>
          <w:rtl w:val="0"/>
        </w:rPr>
        <w:t>. The Value Gap: Europe Cannot Scale (Bo Becker, Efraim Benmelech, and Joao Monteiro)</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Quantifies and explains the stock valuation gap between U.S. and European firms.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Applies firm-level cross-sectional regressions on Compustat data with macro-financial controls.</w:t>
      </w:r>
    </w:p>
    <w:p w:rsidR="00A77B3E">
      <w:pPr>
        <w:bidi w:val="0"/>
        <w:spacing w:before="240" w:after="240" w:line="240" w:lineRule="auto"/>
        <w:ind w:left="108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European firms face scaling limitations and remain dependent on local economic conditions, whereas U.S. firms scale seamlessly across state borders, justifying the transatlantic value gap.</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23</w:t>
      </w:r>
      <w:r>
        <w:rPr>
          <w:rFonts w:ascii="Calibri" w:eastAsia="Calibri" w:hAnsi="Calibri" w:cs="Calibri"/>
          <w:b/>
          <w:i w:val="0"/>
          <w:strike w:val="0"/>
          <w:color w:val="auto"/>
          <w:sz w:val="24"/>
          <w:highlight w:val="none"/>
          <w:u w:val="none"/>
          <w:vertAlign w:val="baseline"/>
          <w:rtl w:val="0"/>
        </w:rPr>
        <w:t>w</w:t>
      </w:r>
      <w:r>
        <w:rPr>
          <w:rFonts w:ascii="Calibri" w:eastAsia="Calibri" w:hAnsi="Calibri" w:cs="Calibri"/>
          <w:b/>
          <w:i w:val="0"/>
          <w:strike w:val="0"/>
          <w:color w:val="auto"/>
          <w:sz w:val="24"/>
          <w:highlight w:val="none"/>
          <w:u w:val="none"/>
          <w:vertAlign w:val="baseline"/>
          <w:rtl w:val="0"/>
        </w:rPr>
        <w:t>. To Tax or To Ax? Marginal Tax and Spending Multipliers in Consolidations (Roberto Perotti and Luca Sala)</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Estimates and compares actual marginal multipliers of government spending and tax revenues.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Employs local projections instrumented with narrative announced fiscal changes across a 16-country panel.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The marginal spending multiplier is approximately 1.7 while the tax multiplier is near zero and insignificant, refuting the conventional view that tax hikes are more recessionary than spending cuts due to past methodological biases.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24</w:t>
      </w:r>
      <w:r>
        <w:rPr>
          <w:rFonts w:ascii="Calibri" w:eastAsia="Calibri" w:hAnsi="Calibri" w:cs="Calibri"/>
          <w:b/>
          <w:i w:val="0"/>
          <w:strike w:val="0"/>
          <w:color w:val="auto"/>
          <w:sz w:val="24"/>
          <w:highlight w:val="none"/>
          <w:u w:val="none"/>
          <w:vertAlign w:val="baseline"/>
          <w:rtl w:val="0"/>
        </w:rPr>
        <w:t>x</w:t>
      </w:r>
      <w:r>
        <w:rPr>
          <w:rFonts w:ascii="Calibri" w:eastAsia="Calibri" w:hAnsi="Calibri" w:cs="Calibri"/>
          <w:b/>
          <w:i w:val="0"/>
          <w:strike w:val="0"/>
          <w:color w:val="auto"/>
          <w:sz w:val="24"/>
          <w:highlight w:val="none"/>
          <w:u w:val="none"/>
          <w:vertAlign w:val="baseline"/>
          <w:rtl w:val="0"/>
        </w:rPr>
        <w:t>. Winners and Losers: Competition, Creative Destruction, and Labor Income Risk (Brice C. Green et al.)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Analyzes how creative destruction transmits into long-term labor income risk and earnings inequality.</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Uses a general equilibrium product-competition model linked to U.S. administrative panel data.</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Creative destruction drives idiosyncratic labor income risk; high-income managers reap upside gains from innovation while lower-income workers bear asymmetric downside displacement risk.</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25</w:t>
      </w:r>
      <w:r>
        <w:rPr>
          <w:rFonts w:ascii="Calibri" w:eastAsia="Calibri" w:hAnsi="Calibri" w:cs="Calibri"/>
          <w:b/>
          <w:i w:val="0"/>
          <w:strike w:val="0"/>
          <w:color w:val="auto"/>
          <w:sz w:val="24"/>
          <w:highlight w:val="none"/>
          <w:u w:val="none"/>
          <w:vertAlign w:val="baseline"/>
          <w:rtl w:val="0"/>
        </w:rPr>
        <w:t>y</w:t>
      </w:r>
      <w:r>
        <w:rPr>
          <w:rFonts w:ascii="Calibri" w:eastAsia="Calibri" w:hAnsi="Calibri" w:cs="Calibri"/>
          <w:b/>
          <w:i w:val="0"/>
          <w:strike w:val="0"/>
          <w:color w:val="auto"/>
          <w:sz w:val="24"/>
          <w:highlight w:val="none"/>
          <w:u w:val="none"/>
          <w:vertAlign w:val="baseline"/>
          <w:rtl w:val="0"/>
        </w:rPr>
        <w:t>. Zoning: Externalities or Misallocation? (Yu-Hsin Ho et al.)</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Objective:</w:t>
      </w:r>
      <w:r>
        <w:rPr>
          <w:rFonts w:ascii="Calibri" w:eastAsia="Calibri" w:hAnsi="Calibri" w:cs="Calibri"/>
          <w:b w:val="0"/>
          <w:i w:val="0"/>
          <w:strike w:val="0"/>
          <w:color w:val="auto"/>
          <w:sz w:val="24"/>
          <w:highlight w:val="none"/>
          <w:u w:val="none"/>
          <w:vertAlign w:val="baseline"/>
          <w:rtl w:val="0"/>
        </w:rPr>
        <w:t xml:space="preserve"> Evaluates the welfare costs of residential-commercial zoning use restrictions in U.S. cities.</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Variables &amp; Method:</w:t>
      </w:r>
      <w:r>
        <w:rPr>
          <w:rFonts w:ascii="Calibri" w:eastAsia="Calibri" w:hAnsi="Calibri" w:cs="Calibri"/>
          <w:b w:val="0"/>
          <w:i w:val="0"/>
          <w:strike w:val="0"/>
          <w:color w:val="auto"/>
          <w:sz w:val="24"/>
          <w:highlight w:val="none"/>
          <w:u w:val="none"/>
          <w:vertAlign w:val="baseline"/>
          <w:rtl w:val="0"/>
        </w:rPr>
        <w:t xml:space="preserve"> Employs a quantitative spatial general equilibrium model using unzoned Taipei data as a laissez-faire benchmark.</w:t>
      </w:r>
    </w:p>
    <w:p w:rsidR="00A77B3E">
      <w:pPr>
        <w:bidi w:val="0"/>
        <w:spacing w:before="240" w:after="240" w:line="240" w:lineRule="auto"/>
        <w:ind w:left="1440" w:right="0" w:hanging="36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Findings:</w:t>
      </w:r>
      <w:r>
        <w:rPr>
          <w:rFonts w:ascii="Calibri" w:eastAsia="Calibri" w:hAnsi="Calibri" w:cs="Calibri"/>
          <w:b w:val="0"/>
          <w:i w:val="0"/>
          <w:strike w:val="0"/>
          <w:color w:val="auto"/>
          <w:sz w:val="24"/>
          <w:highlight w:val="none"/>
          <w:u w:val="none"/>
          <w:vertAlign w:val="baseline"/>
          <w:rtl w:val="0"/>
        </w:rPr>
        <w:t xml:space="preserve"> Zoning creates massive price wedges and spatial misallocation; eliminating these wedges yields a substantial 9.3% welfare gain, though actual U.S. zoning mistargets mixing policies.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3. Methodological Meta-Analysis</w:t>
      </w:r>
    </w:p>
    <w:p w:rsidR="00A77B3E">
      <w:pPr>
        <w:bidi w:val="0"/>
        <w:spacing w:before="240" w:after="24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Overarching Consensus</w:t>
      </w:r>
      <w:r>
        <w:rPr>
          <w:rFonts w:ascii="Calibri" w:eastAsia="Calibri" w:hAnsi="Calibri" w:cs="Calibri"/>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Across this literature, a clear consensus emerges that macroeconomic outcomes cannot be fully understood without accounting for microeconomic heterogeneity, subjective expectations, and structural frictions. Frictions such as labor search costs, borrowing constraints, sticky wage norms, and spatial zoning restrictions interact directly with agent heterogeneity to alter policy transmission and aggregate volatility. Furthermore, standard full-information rational expectations models often fail; instead, real-world behavior reflects decentralized agents reacting to incomplete, localized signals.</w:t>
      </w:r>
    </w:p>
    <w:p w:rsidR="00A77B3E">
      <w:pPr>
        <w:bidi w:val="0"/>
        <w:spacing w:before="240" w:after="240" w:line="240" w:lineRule="auto"/>
        <w:ind w:left="0" w:right="0" w:firstLine="0"/>
        <w:jc w:val="left"/>
        <w:rPr>
          <w:rFonts w:ascii="Calibri" w:eastAsia="Calibri" w:hAnsi="Calibri" w:cs="Calibri"/>
          <w:b/>
          <w:i w:val="0"/>
          <w:strike w:val="0"/>
          <w:color w:val="auto"/>
          <w:sz w:val="24"/>
          <w:highlight w:val="none"/>
          <w:u w:val="none"/>
          <w:vertAlign w:val="baseline"/>
          <w:rtl w:val="0"/>
        </w:rPr>
      </w:pPr>
      <w:r>
        <w:rPr>
          <w:rFonts w:ascii="Calibri" w:eastAsia="Calibri" w:hAnsi="Calibri" w:cs="Calibri"/>
          <w:b/>
          <w:i w:val="0"/>
          <w:strike w:val="0"/>
          <w:color w:val="auto"/>
          <w:sz w:val="24"/>
          <w:highlight w:val="none"/>
          <w:u w:val="none"/>
          <w:vertAlign w:val="baseline"/>
          <w:rtl w:val="0"/>
        </w:rPr>
        <w:t>Methodolo</w:t>
      </w:r>
      <w:r>
        <w:rPr>
          <w:rFonts w:ascii="Calibri" w:eastAsia="Calibri" w:hAnsi="Calibri" w:cs="Calibri"/>
          <w:b/>
          <w:i w:val="0"/>
          <w:strike w:val="0"/>
          <w:color w:val="auto"/>
          <w:sz w:val="24"/>
          <w:highlight w:val="none"/>
          <w:u w:val="none"/>
          <w:vertAlign w:val="baseline"/>
          <w:rtl w:val="0"/>
        </w:rPr>
        <w:t>g</w:t>
      </w:r>
      <w:r>
        <w:rPr>
          <w:rFonts w:ascii="Calibri" w:eastAsia="Calibri" w:hAnsi="Calibri" w:cs="Calibri"/>
          <w:b/>
          <w:i w:val="0"/>
          <w:strike w:val="0"/>
          <w:color w:val="auto"/>
          <w:sz w:val="24"/>
          <w:highlight w:val="none"/>
          <w:u w:val="none"/>
          <w:vertAlign w:val="baseline"/>
          <w:rtl w:val="0"/>
        </w:rPr>
        <w:t>ical:</w:t>
      </w:r>
    </w:p>
    <w:p w:rsidR="00A77B3E">
      <w:pPr>
        <w:bidi w:val="0"/>
        <w:spacing w:before="240" w:after="240" w:line="240" w:lineRule="auto"/>
        <w:ind w:left="720" w:right="0" w:hanging="360"/>
        <w:jc w:val="both"/>
        <w:rPr>
          <w:rFonts w:ascii="Calibri" w:eastAsia="Calibri" w:hAnsi="Calibri" w:cs="Calibri"/>
          <w:b w:val="0"/>
          <w:i w:val="0"/>
          <w:strike w:val="0"/>
          <w:color w:val="auto"/>
          <w:sz w:val="24"/>
          <w:highlight w:val="none"/>
          <w:u w:val="none"/>
          <w:vertAlign w:val="baseline"/>
          <w:rtl w:val="0"/>
        </w:rPr>
      </w:pPr>
      <w:r>
        <w:rPr>
          <w:rFonts w:ascii="Segoe UI" w:eastAsia="Segoe UI" w:hAnsi="Segoe UI" w:cs="Segoe UI"/>
          <w:b w:val="0"/>
          <w:i w:val="0"/>
          <w:strike w:val="0"/>
          <w:color w:val="auto"/>
          <w:sz w:val="24"/>
          <w:highlight w:val="none"/>
          <w:u w:val="none"/>
          <w:vertAlign w:val="baseline"/>
          <w:rtl w:val="0"/>
        </w:rPr>
        <w:t>1.</w:t>
        <w:tab/>
      </w:r>
      <w:r>
        <w:rPr>
          <w:rFonts w:ascii="Calibri" w:eastAsia="Calibri" w:hAnsi="Calibri" w:cs="Calibri"/>
          <w:b w:val="0"/>
          <w:i/>
          <w:strike w:val="0"/>
          <w:color w:val="auto"/>
          <w:sz w:val="24"/>
          <w:highlight w:val="none"/>
          <w:u w:val="none"/>
          <w:vertAlign w:val="baseline"/>
          <w:rtl w:val="0"/>
        </w:rPr>
        <w:t>Stylized Theory vs. Quantitative Models:</w:t>
      </w:r>
      <w:r>
        <w:rPr>
          <w:rFonts w:ascii="Calibri" w:eastAsia="Calibri" w:hAnsi="Calibri" w:cs="Calibri"/>
          <w:b w:val="0"/>
          <w:i w:val="0"/>
          <w:strike w:val="0"/>
          <w:color w:val="auto"/>
          <w:sz w:val="24"/>
          <w:highlight w:val="none"/>
          <w:u w:val="none"/>
          <w:vertAlign w:val="baseline"/>
          <w:rtl w:val="0"/>
        </w:rPr>
        <w:t xml:space="preserve"> Stylized frameworks offer transparent conditions for theoretical mechanisms, while large-scale quantitative DSGE and spatial models are necessary to measure actual welfare changes and policy trade-offs.</w:t>
      </w:r>
    </w:p>
    <w:p w:rsidR="00A77B3E">
      <w:pPr>
        <w:bidi w:val="0"/>
        <w:spacing w:before="240" w:after="240" w:line="240" w:lineRule="auto"/>
        <w:ind w:left="720" w:right="0" w:hanging="360"/>
        <w:jc w:val="both"/>
        <w:rPr>
          <w:rFonts w:ascii="Calibri" w:eastAsia="Calibri" w:hAnsi="Calibri" w:cs="Calibri"/>
          <w:b w:val="0"/>
          <w:i w:val="0"/>
          <w:strike w:val="0"/>
          <w:color w:val="auto"/>
          <w:sz w:val="24"/>
          <w:highlight w:val="none"/>
          <w:u w:val="none"/>
          <w:vertAlign w:val="baseline"/>
          <w:rtl w:val="0"/>
        </w:rPr>
      </w:pPr>
      <w:r>
        <w:rPr>
          <w:rFonts w:ascii="Segoe UI" w:eastAsia="Segoe UI" w:hAnsi="Segoe UI" w:cs="Segoe UI"/>
          <w:b w:val="0"/>
          <w:i w:val="0"/>
          <w:strike w:val="0"/>
          <w:color w:val="auto"/>
          <w:sz w:val="24"/>
          <w:highlight w:val="none"/>
          <w:u w:val="none"/>
          <w:vertAlign w:val="baseline"/>
          <w:rtl w:val="0"/>
        </w:rPr>
        <w:t>2.</w:t>
        <w:tab/>
      </w:r>
      <w:r>
        <w:rPr>
          <w:rFonts w:ascii="Calibri" w:eastAsia="Calibri" w:hAnsi="Calibri" w:cs="Calibri"/>
          <w:b w:val="0"/>
          <w:i/>
          <w:strike w:val="0"/>
          <w:color w:val="auto"/>
          <w:sz w:val="24"/>
          <w:highlight w:val="none"/>
          <w:u w:val="none"/>
          <w:vertAlign w:val="baseline"/>
          <w:rtl w:val="0"/>
        </w:rPr>
        <w:t>Structural General Equilibrium vs. Reduced-Form Empirical Methods:</w:t>
      </w:r>
      <w:r>
        <w:rPr>
          <w:rFonts w:ascii="Calibri" w:eastAsia="Calibri" w:hAnsi="Calibri" w:cs="Calibri"/>
          <w:b w:val="0"/>
          <w:i w:val="0"/>
          <w:strike w:val="0"/>
          <w:color w:val="auto"/>
          <w:sz w:val="24"/>
          <w:highlight w:val="none"/>
          <w:u w:val="none"/>
          <w:vertAlign w:val="baseline"/>
          <w:rtl w:val="0"/>
        </w:rPr>
        <w:t xml:space="preserve"> Structural models allow for counterfactual policy simulations, whereas panel local projections and SVARs provide robust, data-driven impulse responses without imposing tight structural functional forms.</w:t>
      </w:r>
    </w:p>
    <w:p w:rsidR="00A77B3E">
      <w:pPr>
        <w:bidi w:val="0"/>
        <w:spacing w:before="240" w:after="240" w:line="240" w:lineRule="auto"/>
        <w:ind w:left="720" w:right="0" w:hanging="360"/>
        <w:jc w:val="both"/>
        <w:rPr>
          <w:rFonts w:ascii="Calibri" w:eastAsia="Calibri" w:hAnsi="Calibri" w:cs="Calibri"/>
          <w:b w:val="0"/>
          <w:i w:val="0"/>
          <w:strike w:val="0"/>
          <w:color w:val="auto"/>
          <w:sz w:val="24"/>
          <w:highlight w:val="none"/>
          <w:u w:val="none"/>
          <w:vertAlign w:val="baseline"/>
          <w:rtl w:val="0"/>
        </w:rPr>
      </w:pPr>
      <w:r>
        <w:rPr>
          <w:rFonts w:ascii="Segoe UI" w:eastAsia="Segoe UI" w:hAnsi="Segoe UI" w:cs="Segoe UI"/>
          <w:b w:val="0"/>
          <w:i w:val="0"/>
          <w:strike w:val="0"/>
          <w:color w:val="auto"/>
          <w:sz w:val="24"/>
          <w:highlight w:val="none"/>
          <w:u w:val="none"/>
          <w:vertAlign w:val="baseline"/>
          <w:rtl w:val="0"/>
        </w:rPr>
        <w:t>3.</w:t>
        <w:tab/>
      </w:r>
      <w:r>
        <w:rPr>
          <w:rFonts w:ascii="Calibri" w:eastAsia="Calibri" w:hAnsi="Calibri" w:cs="Calibri"/>
          <w:b w:val="0"/>
          <w:i/>
          <w:strike w:val="0"/>
          <w:color w:val="auto"/>
          <w:sz w:val="24"/>
          <w:highlight w:val="none"/>
          <w:u w:val="none"/>
          <w:vertAlign w:val="baseline"/>
          <w:rtl w:val="0"/>
        </w:rPr>
        <w:t>Modern Micro-Data vs. Macro-Historical Data:</w:t>
      </w:r>
      <w:r>
        <w:rPr>
          <w:rFonts w:ascii="Calibri" w:eastAsia="Calibri" w:hAnsi="Calibri" w:cs="Calibri"/>
          <w:b w:val="0"/>
          <w:i w:val="0"/>
          <w:strike w:val="0"/>
          <w:color w:val="auto"/>
          <w:sz w:val="24"/>
          <w:highlight w:val="none"/>
          <w:u w:val="none"/>
          <w:vertAlign w:val="baseline"/>
          <w:rtl w:val="0"/>
        </w:rPr>
        <w:t xml:space="preserve"> Unconventional micro-datasets (such as text-mined newspapers and administrative payroll panels) offer granular insights into expectations and firm pricing, while century-long historical databases are essential for capturing long-term debt, duration risk, and credit cycles.</w:t>
      </w:r>
    </w:p>
    <w:p w:rsidR="00A77B3E">
      <w:pPr>
        <w:bidi w:val="0"/>
        <w:spacing w:before="240" w:after="240" w:line="240" w:lineRule="auto"/>
        <w:ind w:left="720" w:right="0" w:hanging="360"/>
        <w:jc w:val="both"/>
        <w:rPr>
          <w:rFonts w:ascii="Calibri" w:eastAsia="Calibri" w:hAnsi="Calibri" w:cs="Calibri"/>
          <w:b w:val="0"/>
          <w:i w:val="0"/>
          <w:strike w:val="0"/>
          <w:color w:val="auto"/>
          <w:sz w:val="24"/>
          <w:highlight w:val="none"/>
          <w:u w:val="none"/>
          <w:vertAlign w:val="baseline"/>
          <w:rtl w:val="0"/>
        </w:rPr>
      </w:pPr>
    </w:p>
    <w:p w:rsidR="00A77B3E">
      <w:pPr>
        <w:bidi w:val="0"/>
        <w:spacing w:before="240" w:after="240" w:line="240" w:lineRule="auto"/>
        <w:ind w:left="720" w:right="0" w:hanging="360"/>
        <w:jc w:val="both"/>
        <w:rPr>
          <w:rFonts w:ascii="Calibri" w:eastAsia="Calibri" w:hAnsi="Calibri" w:cs="Calibri"/>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