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4 retains one P quality gate parked; Workstream 5 scoped core acceptance is Y. Workstream 6 is I: local receipts and exact-action browser controls are implemented; real browser and broader scope/replay acceptance remain pending. Full offline suite: 312 tests passed.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Local receipts and exact browser approvals implemented and AppTest verified; live browser and broader replay/scope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I and active. Durable local receipts and exact-action browser review/approve/decline controls are implemented. Proposals are user/chat scoped, expire, reject changed targets and execute once without model regeneration. 312 full offline tests pass. Real browser and broader scope/replay acceptance remain pending. Remaining: 1 P, 2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Exact-action browser review/approve/decline controls implemented; scoped backend and UI tests pass. Real browser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Local durable receipts protect approved operations after cancellation, timeout and store reopen; 13 new scoped tests pass. Broader replay/interface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6 Controlled actions is active. Local receipts and exact browser approval controls are implemented; real browser and broader permission/replay checks remain pending. Current full offline suite: 312 tests passed. Workstream 6 remaining: 1 P, 2 I, 0 X. Workstream 4 remains P with one parked item; Workstream 5 scoped acceptance remains Y.</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The embedded roadmap flow below is an earlier snapshot retained for history. Current statuses: Workstream 4 P; Workstream 5 Y; next Workstream 6.</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active-workstream descriptions and test totals below are snapshots from their stated stage, not current status. Current baseline: 287 full offline tests passed. Workstream 4 is P and parked with 1 P remaining; Workstream 5 scoped core acceptance is Y with 0 P/I/X remaining. Next: Workstream 6 controlled actions.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