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1 is Y; gaps in 2 and 3 remain P and parked. Workstream 4 has one P quality gate parked. Workstream 5 scoped core acceptance is Y. Latest full offline suite: 287 tests passed, including browser tests. Next: Workstream 6 controlled actions;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Console approval coverage exists; browser/action replay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Continue with Workstream 5.</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 xml:space="preserve">Status P. </w:t>
      </w:r>
      <w:r>
        <w:t>Bind approval to the exact action; prevent restart or cancellation from replaying side effects.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local-action policy does not fall back to hidden console approval (implementation and scoped-policy test).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Add and verify exact-action browser approvals, or explicitly accept the console-only limitation for the release.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restart, cancellation and uncertain outcomes cannot replay completed side effects.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4 — Reliable knowledge and search is now the active milestone. Verify source citations and retrieved evidence, then current indexed-document quality and mixed-source answers. Workstreams 2 and 3 retain verified Y items but their remaining summary/semantic/conflict acceptance gaps are P—parked by user decision. Do not retry those models now. Automation-framework expansion remains deferred until core release acceptance.</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X = not completed/not started, I = in progress, P = worked on but pending/parked. Deferred framework work uses P as a deliberate scheduling status, not a claim that it is implemented.</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Older active-workstream descriptions and test totals below are historical. The current verified baseline is 241 offline tests; Workstream 4 is active. Mixed-source final-answer acceptance remains pending after a Groq quota rejection.</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Current handoff — Workstream 4 active, 17 October 2026</w:t>
      </w:r>
    </w:p>
    <w:p>
      <w:r>
        <w:t>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New provider adapter needed before use.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