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4 retains one P quality gate parked; Workstream 5 scoped core acceptance is Y. Workstream 6 is I: scoped browser approval milestone is Y, with broader restart/replay and permissions pending. Full offline suite: 320 tests passed. Core release remains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live browser approval milestone verified; broader restart/replay and release-wide scope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I overall. Scoped browser review/create/approve, decline without file creation, and refresh/chat-switch/return are now user verified with local file and receipt checks. Durable local receipts remain integrated. Broader server-restart/replay and release-wide permissions are pending. Remaining: 1 P, 1 I, 0 X. Latest full offline suite: 320 tests passed.</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Scoped live browser approval milestone passed: exact review/create/approve, decline with no file, and refresh/chat-switch/return. User observation plus file/receipt checks; broader restart/replay tracked separately.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I</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Local durable receipts protect approved operations after cancellation, timeout and store reopen; 13 new scoped tests pass. Broader replay/interface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6 Controlled actions remains active. User-operated browser approval, decline and refresh/chat-switch/return passed for the observed file-action sample. Remaining: 1 P, 1 I, 0 X for broader restart/replay and permission checks. Workstream 4 retains 1 P parked; Workstream 5 scoped acceptance remains Y.</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The embedded roadmap flow below is an earlier snapshot retained for history. Current statuses: Workstream 4 P; Workstream 5 Y; next Workstream 6.</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active-workstream descriptions and test totals below are snapshots from their stated stage, not current status. Current baseline: 287 full offline tests passed. Workstream 4 is P and parked with 1 P remaining; Workstream 5 scoped core acceptance is Y with 0 P/I/X remaining. Next: Workstream 6 controlled actions.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