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TESTA final papers and evidence</w:t>
      </w:r>
    </w:p>
    <w:p>
      <w:r>
        <w:t>Cognizant Worldwide Limited UK | OneNote handover | 11 October 2026</w:t>
      </w:r>
    </w:p>
    <w:p>
      <w:r>
        <w:t>Use this file to identify the three selected papers and attach their supporting evidence in OneNote. The filenames below are the current versions in GitHub. “Final” identifies the selected version; it does not mean that outstanding client measurements have been verified or that an entry has been submitted.</w:t>
      </w:r>
    </w:p>
    <w:p>
      <w:pPr>
        <w:pStyle w:val="Heading1"/>
      </w:pPr>
      <w:r>
        <w:t>AI Quality Assurance</w:t>
      </w:r>
    </w:p>
    <w:p>
      <w:hyperlink r:id="rId9">
        <w:r>
          <w:rPr>
            <w:color w:val="0563C1"/>
            <w:sz w:val="20"/>
          </w:rPr>
          <w:t>Cognizant_TESTA_AI_Quality_Assurance_Final.docx</w:t>
        </w:r>
      </w:hyperlink>
    </w:p>
    <w:p>
      <w:r>
        <w:t>S01 supports the reported account delivery narrative. A01–A10 support the specialist applications within their stated limits. A11–A14 and ARC01–ARC04 are supplemental runtime, hand-off and architecture evidence; they are not new client outcomes.</w:t>
      </w:r>
    </w:p>
    <w:p>
      <w:r>
        <w:t>Still needed: the released-effort ledger, a defined denominator and period for 85% accessibility automation, completed model-training and serving records, and independent model evaluation.</w:t>
      </w:r>
    </w:p>
    <w:p>
      <w:pPr>
        <w:pStyle w:val="Heading1"/>
      </w:pPr>
      <w:r>
        <w:t>Non functional Automation</w:t>
      </w:r>
    </w:p>
    <w:p>
      <w:hyperlink r:id="rId10">
        <w:r>
          <w:rPr>
            <w:color w:val="0563C1"/>
            <w:sz w:val="20"/>
          </w:rPr>
          <w:t>Cognizant_TESTA_Non_Functional_Automation_Final.docx</w:t>
        </w:r>
      </w:hyperlink>
    </w:p>
    <w:p>
      <w:r>
        <w:t>N01–N04 support the workload, cache, PerfOps and delivery narrative. Inteliperf demonstration A13 is separate technical work; it does not substantiate the client’s reported savings.</w:t>
      </w:r>
    </w:p>
    <w:p>
      <w:r>
        <w:t>Still needed: a like-for-like effort baseline for the reported 90% saving, cache measurements before and after, reconciled screenshot figures and attributable run records.</w:t>
      </w:r>
    </w:p>
    <w:p>
      <w:pPr>
        <w:pStyle w:val="Heading1"/>
      </w:pPr>
      <w:r>
        <w:t>Most Innovative Project</w:t>
      </w:r>
    </w:p>
    <w:p>
      <w:hyperlink r:id="rId11">
        <w:r>
          <w:rPr>
            <w:color w:val="0563C1"/>
            <w:sz w:val="20"/>
          </w:rPr>
          <w:t>Cognizant_TESTA_Most_Innovative_Project_Final.docx</w:t>
        </w:r>
      </w:hyperlink>
    </w:p>
    <w:p>
      <w:r>
        <w:t>S02 supports the shared regression ownership and execution method. The account narrative describes five service teams; it is not independent evidence of active adoption or measured benefit.</w:t>
      </w:r>
    </w:p>
    <w:p>
      <w:r>
        <w:t>Still needed: contribution and shared-pipeline run records, representative failure-triage examples, and comparable onboarding or maintenance measurements.</w:t>
      </w:r>
    </w:p>
    <w:p>
      <w:pPr>
        <w:pStyle w:val="Heading1"/>
      </w:pPr>
      <w:r>
        <w:t>Moving the package to OneNote</w:t>
      </w:r>
    </w:p>
    <w:p>
      <w:r>
        <w:t>Create one page per paper. Attach the Word paper and its evidence files from the catalogue on the next page. Each paper also has an Entry.txt copy for pasting the entry text. Attach the architecture PDF to the AI page if required. Keep this handover as the notebook index.</w:t>
      </w:r>
    </w:p>
    <w:p>
      <w:r>
        <w:t>Use only the anonymous evidence package. Exclude client identity, emails, confidential feedback, email screenshots, credentials and application URLs. No video has been recorded. The evidence checklist gives the remaining records to obtain.</w:t>
      </w:r>
    </w:p>
    <w:p>
      <w:hyperlink r:id="rId12">
        <w:r>
          <w:rPr>
            <w:color w:val="0563C1"/>
            <w:sz w:val="20"/>
          </w:rPr>
          <w:t>Download the complete evidence ZIP</w:t>
        </w:r>
      </w:hyperlink>
    </w:p>
    <w:p>
      <w:r>
        <w:br w:type="page"/>
      </w:r>
    </w:p>
    <w:p>
      <w:pPr>
        <w:pStyle w:val="Title"/>
      </w:pPr>
      <w:r>
        <w:t>Evidence file catalogue</w:t>
      </w:r>
    </w:p>
    <w:p>
      <w:r>
        <w:t>All paths below are relative to Evidence/. Links open the corresponding GitHub file or folder. Read each report’s scope before citing it. Runtime folders include their report, structured results and reproduction script.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6149"/>
        <w:gridCol w:w="2851"/>
      </w:tblGrid>
      <w:tr>
        <w:trPr>
          <w:cantSplit/>
          <w:tblHeader/>
        </w:trPr>
        <w:tc>
          <w:tcPr>
            <w:tcW w:type="dxa" w:w="3346"/>
            <w:vAlign w:val="center"/>
            <w:shd w:fill="DCE6F1"/>
            <w:tcMar>
              <w:top w:w="65" w:type="dxa"/>
              <w:bottom w:w="65" w:type="dxa"/>
              <w:left w:w="65" w:type="dxa"/>
              <w:right w:w="65" w:type="dxa"/>
            </w:tcMar>
          </w:tcPr>
          <w:p>
            <w:pPr>
              <w:spacing w:after="0" w:line="240" w:lineRule="auto"/>
              <w:jc w:val="center"/>
            </w:pPr>
            <w:r>
              <w:rPr>
                <w:b/>
                <w:sz w:val="18"/>
              </w:rPr>
              <w:t>Reference</w:t>
            </w:r>
          </w:p>
        </w:tc>
        <w:tc>
          <w:tcPr>
            <w:tcW w:type="dxa" w:w="3346"/>
            <w:vAlign w:val="center"/>
            <w:shd w:fill="DCE6F1"/>
            <w:tcMar>
              <w:top w:w="65" w:type="dxa"/>
              <w:bottom w:w="65" w:type="dxa"/>
              <w:left w:w="65" w:type="dxa"/>
              <w:right w:w="65" w:type="dxa"/>
            </w:tcMar>
          </w:tcPr>
          <w:p>
            <w:pPr>
              <w:spacing w:after="0" w:line="240" w:lineRule="auto"/>
            </w:pPr>
            <w:r>
              <w:rPr>
                <w:b/>
                <w:sz w:val="18"/>
              </w:rPr>
              <w:t>File or folder</w:t>
            </w:r>
          </w:p>
        </w:tc>
        <w:tc>
          <w:tcPr>
            <w:tcW w:type="dxa" w:w="3346"/>
            <w:vAlign w:val="center"/>
            <w:shd w:fill="DCE6F1"/>
            <w:tcMar>
              <w:top w:w="65" w:type="dxa"/>
              <w:bottom w:w="65" w:type="dxa"/>
              <w:left w:w="65" w:type="dxa"/>
              <w:right w:w="65" w:type="dxa"/>
            </w:tcMar>
          </w:tcPr>
          <w:p>
            <w:pPr>
              <w:spacing w:after="0" w:line="240" w:lineRule="auto"/>
            </w:pPr>
            <w:r>
              <w:rPr>
                <w:b/>
                <w:sz w:val="18"/>
              </w:rPr>
              <w:t>Evidence scope</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S01</w:t>
            </w:r>
          </w:p>
        </w:tc>
        <w:tc>
          <w:tcPr>
            <w:tcW w:type="dxa" w:w="6149"/>
            <w:vAlign w:val="center"/>
            <w:shd w:fill="FFFFFF"/>
            <w:tcMar>
              <w:top w:w="65" w:type="dxa"/>
              <w:bottom w:w="65" w:type="dxa"/>
              <w:left w:w="65" w:type="dxa"/>
              <w:right w:w="65" w:type="dxa"/>
            </w:tcMar>
          </w:tcPr>
          <w:p>
            <w:pPr>
              <w:spacing w:after="0" w:line="240" w:lineRule="auto"/>
            </w:pPr>
            <w:hyperlink r:id="rId13">
              <w:r>
                <w:rPr>
                  <w:color w:val="0563C1"/>
                  <w:sz w:val="18"/>
                </w:rPr>
                <w:t>S01_account_ai_source_digest.txt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AI account narrative</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A01</w:t>
            </w:r>
          </w:p>
        </w:tc>
        <w:tc>
          <w:tcPr>
            <w:tcW w:type="dxa" w:w="6149"/>
            <w:vAlign w:val="center"/>
            <w:shd w:fill="F5F7FA"/>
            <w:tcMar>
              <w:top w:w="65" w:type="dxa"/>
              <w:bottom w:w="65" w:type="dxa"/>
              <w:left w:w="65" w:type="dxa"/>
              <w:right w:w="65" w:type="dxa"/>
            </w:tcMar>
          </w:tcPr>
          <w:p>
            <w:pPr>
              <w:spacing w:after="0" w:line="240" w:lineRule="auto"/>
            </w:pPr>
            <w:hyperlink r:id="rId14">
              <w:r>
                <w:rPr>
                  <w:color w:val="0563C1"/>
                  <w:sz w:val="18"/>
                </w:rPr>
                <w:t>A01_intellisec-overview.jpg</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Local illustration</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A02</w:t>
            </w:r>
          </w:p>
        </w:tc>
        <w:tc>
          <w:tcPr>
            <w:tcW w:type="dxa" w:w="6149"/>
            <w:vAlign w:val="center"/>
            <w:shd w:fill="FFFFFF"/>
            <w:tcMar>
              <w:top w:w="65" w:type="dxa"/>
              <w:bottom w:w="65" w:type="dxa"/>
              <w:left w:w="65" w:type="dxa"/>
              <w:right w:w="65" w:type="dxa"/>
            </w:tcMar>
          </w:tcPr>
          <w:p>
            <w:pPr>
              <w:spacing w:after="0" w:line="240" w:lineRule="auto"/>
            </w:pPr>
            <w:hyperlink r:id="rId15">
              <w:r>
                <w:rPr>
                  <w:color w:val="0563C1"/>
                  <w:sz w:val="18"/>
                </w:rPr>
                <w:t>A02_intellisec-assessment-types.jpg</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Includes planned features</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A03</w:t>
            </w:r>
          </w:p>
        </w:tc>
        <w:tc>
          <w:tcPr>
            <w:tcW w:type="dxa" w:w="6149"/>
            <w:vAlign w:val="center"/>
            <w:shd w:fill="F5F7FA"/>
            <w:tcMar>
              <w:top w:w="65" w:type="dxa"/>
              <w:bottom w:w="65" w:type="dxa"/>
              <w:left w:w="65" w:type="dxa"/>
              <w:right w:w="65" w:type="dxa"/>
            </w:tcMar>
          </w:tcPr>
          <w:p>
            <w:pPr>
              <w:spacing w:after="0" w:line="240" w:lineRule="auto"/>
            </w:pPr>
            <w:hyperlink r:id="rId16">
              <w:r>
                <w:rPr>
                  <w:color w:val="0563C1"/>
                  <w:sz w:val="18"/>
                </w:rPr>
                <w:t>A03_intellia11y-platform.jpg</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Local introduction</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A04</w:t>
            </w:r>
          </w:p>
        </w:tc>
        <w:tc>
          <w:tcPr>
            <w:tcW w:type="dxa" w:w="6149"/>
            <w:vAlign w:val="center"/>
            <w:shd w:fill="FFFFFF"/>
            <w:tcMar>
              <w:top w:w="65" w:type="dxa"/>
              <w:bottom w:w="65" w:type="dxa"/>
              <w:left w:w="65" w:type="dxa"/>
              <w:right w:w="65" w:type="dxa"/>
            </w:tcMar>
          </w:tcPr>
          <w:p>
            <w:pPr>
              <w:spacing w:after="0" w:line="240" w:lineRule="auto"/>
            </w:pPr>
            <w:hyperlink r:id="rId17">
              <w:r>
                <w:rPr>
                  <w:color w:val="0563C1"/>
                  <w:sz w:val="18"/>
                </w:rPr>
                <w:t>A04_intellia11y-knowledge.jpg</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Knowledge interface</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A05</w:t>
            </w:r>
          </w:p>
        </w:tc>
        <w:tc>
          <w:tcPr>
            <w:tcW w:type="dxa" w:w="6149"/>
            <w:vAlign w:val="center"/>
            <w:shd w:fill="F5F7FA"/>
            <w:tcMar>
              <w:top w:w="65" w:type="dxa"/>
              <w:bottom w:w="65" w:type="dxa"/>
              <w:left w:w="65" w:type="dxa"/>
              <w:right w:w="65" w:type="dxa"/>
            </w:tcMar>
          </w:tcPr>
          <w:p>
            <w:pPr>
              <w:spacing w:after="0" w:line="240" w:lineRule="auto"/>
            </w:pPr>
            <w:hyperlink r:id="rId18">
              <w:r>
                <w:rPr>
                  <w:color w:val="0563C1"/>
                  <w:sz w:val="18"/>
                </w:rPr>
                <w:t>A05_inteliperf-platform.jpg</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Demo workspace</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A06</w:t>
            </w:r>
          </w:p>
        </w:tc>
        <w:tc>
          <w:tcPr>
            <w:tcW w:type="dxa" w:w="6149"/>
            <w:vAlign w:val="center"/>
            <w:shd w:fill="FFFFFF"/>
            <w:tcMar>
              <w:top w:w="65" w:type="dxa"/>
              <w:bottom w:w="65" w:type="dxa"/>
              <w:left w:w="65" w:type="dxa"/>
              <w:right w:w="65" w:type="dxa"/>
            </w:tcMar>
          </w:tcPr>
          <w:p>
            <w:pPr>
              <w:spacing w:after="0" w:line="240" w:lineRule="auto"/>
            </w:pPr>
            <w:hyperlink r:id="rId19">
              <w:r>
                <w:rPr>
                  <w:color w:val="0563C1"/>
                  <w:sz w:val="18"/>
                </w:rPr>
                <w:t>A06_inteliperf-readiness-framework.jpg</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Score framework</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A07</w:t>
            </w:r>
          </w:p>
        </w:tc>
        <w:tc>
          <w:tcPr>
            <w:tcW w:type="dxa" w:w="6149"/>
            <w:vAlign w:val="center"/>
            <w:shd w:fill="F5F7FA"/>
            <w:tcMar>
              <w:top w:w="65" w:type="dxa"/>
              <w:bottom w:w="65" w:type="dxa"/>
              <w:left w:w="65" w:type="dxa"/>
              <w:right w:w="65" w:type="dxa"/>
            </w:tcMar>
          </w:tcPr>
          <w:p>
            <w:pPr>
              <w:spacing w:after="0" w:line="240" w:lineRule="auto"/>
            </w:pPr>
            <w:hyperlink r:id="rId20">
              <w:r>
                <w:rPr>
                  <w:color w:val="0563C1"/>
                  <w:sz w:val="18"/>
                </w:rPr>
                <w:t>A07_inteliperf-decision-criteria.jpg</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Decision criteria</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A08</w:t>
            </w:r>
          </w:p>
        </w:tc>
        <w:tc>
          <w:tcPr>
            <w:tcW w:type="dxa" w:w="6149"/>
            <w:vAlign w:val="center"/>
            <w:shd w:fill="FFFFFF"/>
            <w:tcMar>
              <w:top w:w="65" w:type="dxa"/>
              <w:bottom w:w="65" w:type="dxa"/>
              <w:left w:w="65" w:type="dxa"/>
              <w:right w:w="65" w:type="dxa"/>
            </w:tcMar>
          </w:tcPr>
          <w:p>
            <w:pPr>
              <w:spacing w:after="0" w:line="240" w:lineRule="auto"/>
            </w:pPr>
            <w:hyperlink r:id="rId21">
              <w:r>
                <w:rPr>
                  <w:color w:val="0563C1"/>
                  <w:sz w:val="18"/>
                </w:rPr>
                <w:t>A08_intellia11y-control-verification.txt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Local utility tests</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A09</w:t>
            </w:r>
          </w:p>
        </w:tc>
        <w:tc>
          <w:tcPr>
            <w:tcW w:type="dxa" w:w="6149"/>
            <w:vAlign w:val="center"/>
            <w:shd w:fill="F5F7FA"/>
            <w:tcMar>
              <w:top w:w="65" w:type="dxa"/>
              <w:bottom w:w="65" w:type="dxa"/>
              <w:left w:w="65" w:type="dxa"/>
              <w:right w:w="65" w:type="dxa"/>
            </w:tcMar>
          </w:tcPr>
          <w:p>
            <w:pPr>
              <w:spacing w:after="0" w:line="240" w:lineRule="auto"/>
            </w:pPr>
            <w:hyperlink r:id="rId22">
              <w:r>
                <w:rPr>
                  <w:color w:val="0563C1"/>
                  <w:sz w:val="18"/>
                </w:rPr>
                <w:t>A09_intellia11y-dataset-integrity.txt</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Dataset overlap limits</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A10</w:t>
            </w:r>
          </w:p>
        </w:tc>
        <w:tc>
          <w:tcPr>
            <w:tcW w:type="dxa" w:w="6149"/>
            <w:vAlign w:val="center"/>
            <w:shd w:fill="FFFFFF"/>
            <w:tcMar>
              <w:top w:w="65" w:type="dxa"/>
              <w:bottom w:w="65" w:type="dxa"/>
              <w:left w:w="65" w:type="dxa"/>
              <w:right w:w="65" w:type="dxa"/>
            </w:tcMar>
          </w:tcPr>
          <w:p>
            <w:pPr>
              <w:spacing w:after="0" w:line="240" w:lineRule="auto"/>
            </w:pPr>
            <w:hyperlink r:id="rId23">
              <w:r>
                <w:rPr>
                  <w:color w:val="0563C1"/>
                  <w:sz w:val="18"/>
                </w:rPr>
                <w:t>A10_local_implementation_inspection.txt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Source inspection</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A11</w:t>
            </w:r>
          </w:p>
        </w:tc>
        <w:tc>
          <w:tcPr>
            <w:tcW w:type="dxa" w:w="6149"/>
            <w:vAlign w:val="center"/>
            <w:shd w:fill="F5F7FA"/>
            <w:tcMar>
              <w:top w:w="65" w:type="dxa"/>
              <w:bottom w:w="65" w:type="dxa"/>
              <w:left w:w="65" w:type="dxa"/>
              <w:right w:w="65" w:type="dxa"/>
            </w:tcMar>
          </w:tcPr>
          <w:p>
            <w:pPr>
              <w:spacing w:after="0" w:line="240" w:lineRule="auto"/>
            </w:pPr>
            <w:hyperlink r:id="rId24">
              <w:r>
                <w:rPr>
                  <w:color w:val="0563C1"/>
                  <w:sz w:val="18"/>
                </w:rPr>
                <w:t>A11_IntelliA11y_Runtime/</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3 to 0 confirmed; 5 review items remain</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A12</w:t>
            </w:r>
          </w:p>
        </w:tc>
        <w:tc>
          <w:tcPr>
            <w:tcW w:type="dxa" w:w="6149"/>
            <w:vAlign w:val="center"/>
            <w:shd w:fill="FFFFFF"/>
            <w:tcMar>
              <w:top w:w="65" w:type="dxa"/>
              <w:bottom w:w="65" w:type="dxa"/>
              <w:left w:w="65" w:type="dxa"/>
              <w:right w:w="65" w:type="dxa"/>
            </w:tcMar>
          </w:tcPr>
          <w:p>
            <w:pPr>
              <w:spacing w:after="0" w:line="240" w:lineRule="auto"/>
            </w:pPr>
            <w:hyperlink r:id="rId25">
              <w:r>
                <w:rPr>
                  <w:color w:val="0563C1"/>
                  <w:sz w:val="18"/>
                </w:rPr>
                <w:t>A12_IntelliSec_Runtime/</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1 to 0 synthetic findings</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A13</w:t>
            </w:r>
          </w:p>
        </w:tc>
        <w:tc>
          <w:tcPr>
            <w:tcW w:type="dxa" w:w="6149"/>
            <w:vAlign w:val="center"/>
            <w:shd w:fill="F5F7FA"/>
            <w:tcMar>
              <w:top w:w="65" w:type="dxa"/>
              <w:bottom w:w="65" w:type="dxa"/>
              <w:left w:w="65" w:type="dxa"/>
              <w:right w:w="65" w:type="dxa"/>
            </w:tcMar>
          </w:tcPr>
          <w:p>
            <w:pPr>
              <w:spacing w:after="0" w:line="240" w:lineRule="auto"/>
            </w:pPr>
            <w:hyperlink r:id="rId26">
              <w:r>
                <w:rPr>
                  <w:color w:val="0563C1"/>
                  <w:sz w:val="18"/>
                </w:rPr>
                <w:t>A13_Inteliperf_Runtime/</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3 to 0 assertion errors; 3 samples per phase</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A14</w:t>
            </w:r>
          </w:p>
        </w:tc>
        <w:tc>
          <w:tcPr>
            <w:tcW w:type="dxa" w:w="6149"/>
            <w:vAlign w:val="center"/>
            <w:shd w:fill="FFFFFF"/>
            <w:tcMar>
              <w:top w:w="65" w:type="dxa"/>
              <w:bottom w:w="65" w:type="dxa"/>
              <w:left w:w="65" w:type="dxa"/>
              <w:right w:w="65" w:type="dxa"/>
            </w:tcMar>
          </w:tcPr>
          <w:p>
            <w:pPr>
              <w:spacing w:after="0" w:line="240" w:lineRule="auto"/>
            </w:pPr>
            <w:hyperlink r:id="rId27">
              <w:r>
                <w:rPr>
                  <w:color w:val="0563C1"/>
                  <w:sz w:val="18"/>
                </w:rPr>
                <w:t>A14_IntelliA11y_Handoff_Status.txt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No completed linked loop established</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N01</w:t>
            </w:r>
          </w:p>
        </w:tc>
        <w:tc>
          <w:tcPr>
            <w:tcW w:type="dxa" w:w="6149"/>
            <w:vAlign w:val="center"/>
            <w:shd w:fill="F5F7FA"/>
            <w:tcMar>
              <w:top w:w="65" w:type="dxa"/>
              <w:bottom w:w="65" w:type="dxa"/>
              <w:left w:w="65" w:type="dxa"/>
              <w:right w:w="65" w:type="dxa"/>
            </w:tcMar>
          </w:tcPr>
          <w:p>
            <w:pPr>
              <w:spacing w:after="0" w:line="240" w:lineRule="auto"/>
            </w:pPr>
            <w:hyperlink r:id="rId28">
              <w:r>
                <w:rPr>
                  <w:color w:val="0563C1"/>
                  <w:sz w:val="18"/>
                </w:rPr>
                <w:t>N01_workload_and_alert_transcription.txt</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Anonymised visual digest</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N02</w:t>
            </w:r>
          </w:p>
        </w:tc>
        <w:tc>
          <w:tcPr>
            <w:tcW w:type="dxa" w:w="6149"/>
            <w:vAlign w:val="center"/>
            <w:shd w:fill="FFFFFF"/>
            <w:tcMar>
              <w:top w:w="65" w:type="dxa"/>
              <w:bottom w:w="65" w:type="dxa"/>
              <w:left w:w="65" w:type="dxa"/>
              <w:right w:w="65" w:type="dxa"/>
            </w:tcMar>
          </w:tcPr>
          <w:p>
            <w:pPr>
              <w:spacing w:after="0" w:line="240" w:lineRule="auto"/>
            </w:pPr>
            <w:hyperlink r:id="rId29">
              <w:r>
                <w:rPr>
                  <w:color w:val="0563C1"/>
                  <w:sz w:val="18"/>
                </w:rPr>
                <w:t>N02_cache_case_source_digest.txt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Cache narrative</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N03</w:t>
            </w:r>
          </w:p>
        </w:tc>
        <w:tc>
          <w:tcPr>
            <w:tcW w:type="dxa" w:w="6149"/>
            <w:vAlign w:val="center"/>
            <w:shd w:fill="F5F7FA"/>
            <w:tcMar>
              <w:top w:w="65" w:type="dxa"/>
              <w:bottom w:w="65" w:type="dxa"/>
              <w:left w:w="65" w:type="dxa"/>
              <w:right w:w="65" w:type="dxa"/>
            </w:tcMar>
          </w:tcPr>
          <w:p>
            <w:pPr>
              <w:spacing w:after="0" w:line="240" w:lineRule="auto"/>
            </w:pPr>
            <w:hyperlink r:id="rId30">
              <w:r>
                <w:rPr>
                  <w:color w:val="0563C1"/>
                  <w:sz w:val="18"/>
                </w:rPr>
                <w:t>N03_perfops_source_digest.txt</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PerfOps narrative</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N04</w:t>
            </w:r>
          </w:p>
        </w:tc>
        <w:tc>
          <w:tcPr>
            <w:tcW w:type="dxa" w:w="6149"/>
            <w:vAlign w:val="center"/>
            <w:shd w:fill="FFFFFF"/>
            <w:tcMar>
              <w:top w:w="65" w:type="dxa"/>
              <w:bottom w:w="65" w:type="dxa"/>
              <w:left w:w="65" w:type="dxa"/>
              <w:right w:w="65" w:type="dxa"/>
            </w:tcMar>
          </w:tcPr>
          <w:p>
            <w:pPr>
              <w:spacing w:after="0" w:line="240" w:lineRule="auto"/>
            </w:pPr>
            <w:hyperlink r:id="rId31">
              <w:r>
                <w:rPr>
                  <w:color w:val="0563C1"/>
                  <w:sz w:val="18"/>
                </w:rPr>
                <w:t>N04_delivery_record_digest.txt</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Delivery narrative</w:t>
            </w:r>
          </w:p>
        </w:tc>
      </w:tr>
      <w:tr>
        <w:trPr>
          <w:cantSplit/>
        </w:trPr>
        <w:tc>
          <w:tcPr>
            <w:tcW w:type="dxa" w:w="979"/>
            <w:vAlign w:val="center"/>
            <w:shd w:fill="F5F7FA"/>
            <w:tcMar>
              <w:top w:w="65" w:type="dxa"/>
              <w:bottom w:w="65" w:type="dxa"/>
              <w:left w:w="65" w:type="dxa"/>
              <w:right w:w="65" w:type="dxa"/>
            </w:tcMar>
          </w:tcPr>
          <w:p>
            <w:pPr>
              <w:spacing w:after="0" w:line="240" w:lineRule="auto"/>
              <w:jc w:val="center"/>
            </w:pPr>
            <w:r>
              <w:rPr>
                <w:b w:val="0"/>
                <w:sz w:val="18"/>
              </w:rPr>
              <w:t>S02</w:t>
            </w:r>
          </w:p>
        </w:tc>
        <w:tc>
          <w:tcPr>
            <w:tcW w:type="dxa" w:w="6149"/>
            <w:vAlign w:val="center"/>
            <w:shd w:fill="F5F7FA"/>
            <w:tcMar>
              <w:top w:w="65" w:type="dxa"/>
              <w:bottom w:w="65" w:type="dxa"/>
              <w:left w:w="65" w:type="dxa"/>
              <w:right w:w="65" w:type="dxa"/>
            </w:tcMar>
          </w:tcPr>
          <w:p>
            <w:pPr>
              <w:spacing w:after="0" w:line="240" w:lineRule="auto"/>
            </w:pPr>
            <w:hyperlink r:id="rId32">
              <w:r>
                <w:rPr>
                  <w:color w:val="0563C1"/>
                  <w:sz w:val="18"/>
                </w:rPr>
                <w:t>S02_shared_regression_source_digest.txt</w:t>
              </w:r>
            </w:hyperlink>
          </w:p>
        </w:tc>
        <w:tc>
          <w:tcPr>
            <w:tcW w:type="dxa" w:w="2851"/>
            <w:vAlign w:val="center"/>
            <w:shd w:fill="F5F7FA"/>
            <w:tcMar>
              <w:top w:w="65" w:type="dxa"/>
              <w:bottom w:w="65" w:type="dxa"/>
              <w:left w:w="65" w:type="dxa"/>
              <w:right w:w="65" w:type="dxa"/>
            </w:tcMar>
          </w:tcPr>
          <w:p>
            <w:pPr>
              <w:spacing w:after="0" w:line="240" w:lineRule="auto"/>
            </w:pPr>
            <w:r>
              <w:rPr>
                <w:b w:val="0"/>
                <w:sz w:val="18"/>
              </w:rPr>
              <w:t>Innovation narrative</w:t>
            </w:r>
          </w:p>
        </w:tc>
      </w:tr>
      <w:tr>
        <w:trPr>
          <w:cantSplit/>
        </w:trPr>
        <w:tc>
          <w:tcPr>
            <w:tcW w:type="dxa" w:w="979"/>
            <w:vAlign w:val="center"/>
            <w:shd w:fill="FFFFFF"/>
            <w:tcMar>
              <w:top w:w="65" w:type="dxa"/>
              <w:bottom w:w="65" w:type="dxa"/>
              <w:left w:w="65" w:type="dxa"/>
              <w:right w:w="65" w:type="dxa"/>
            </w:tcMar>
          </w:tcPr>
          <w:p>
            <w:pPr>
              <w:spacing w:after="0" w:line="240" w:lineRule="auto"/>
              <w:jc w:val="center"/>
            </w:pPr>
            <w:r>
              <w:rPr>
                <w:b w:val="0"/>
                <w:sz w:val="18"/>
              </w:rPr>
              <w:t>ARC01–04</w:t>
            </w:r>
          </w:p>
        </w:tc>
        <w:tc>
          <w:tcPr>
            <w:tcW w:type="dxa" w:w="6149"/>
            <w:vAlign w:val="center"/>
            <w:shd w:fill="FFFFFF"/>
            <w:tcMar>
              <w:top w:w="65" w:type="dxa"/>
              <w:bottom w:w="65" w:type="dxa"/>
              <w:left w:w="65" w:type="dxa"/>
              <w:right w:w="65" w:type="dxa"/>
            </w:tcMar>
          </w:tcPr>
          <w:p>
            <w:pPr>
              <w:spacing w:after="0" w:line="240" w:lineRule="auto"/>
            </w:pPr>
            <w:hyperlink r:id="rId33">
              <w:r>
                <w:rPr>
                  <w:color w:val="0563C1"/>
                  <w:sz w:val="18"/>
                </w:rPr>
                <w:t>Architecture/Cognizant_Intelligent_Platform_Architecture.pdf</w:t>
              </w:r>
            </w:hyperlink>
          </w:p>
        </w:tc>
        <w:tc>
          <w:tcPr>
            <w:tcW w:type="dxa" w:w="2851"/>
            <w:vAlign w:val="center"/>
            <w:shd w:fill="FFFFFF"/>
            <w:tcMar>
              <w:top w:w="65" w:type="dxa"/>
              <w:bottom w:w="65" w:type="dxa"/>
              <w:left w:w="65" w:type="dxa"/>
              <w:right w:w="65" w:type="dxa"/>
            </w:tcMar>
          </w:tcPr>
          <w:p>
            <w:pPr>
              <w:spacing w:after="0" w:line="240" w:lineRule="auto"/>
            </w:pPr>
            <w:r>
              <w:rPr>
                <w:b w:val="0"/>
                <w:sz w:val="18"/>
              </w:rPr>
              <w:t>Four source-based diagrams</w:t>
            </w:r>
          </w:p>
        </w:tc>
      </w:tr>
    </w:tbl>
    <w:p>
      <w:pPr>
        <w:spacing w:before="160"/>
      </w:pPr>
      <w:r>
        <w:t>A11–A13 use deliberate synthetic fixture corrections. They establish bounded engine behaviour, not autonomous remediation, model uplift, client savings or accessibility conformance.</w:t>
      </w:r>
    </w:p>
    <w:p>
      <w:hyperlink r:id="rId34">
        <w:r>
          <w:rPr>
            <w:color w:val="0563C1"/>
            <w:sz w:val="20"/>
          </w:rPr>
          <w:t>Evidence index</w:t>
        </w:r>
      </w:hyperlink>
    </w:p>
    <w:p>
      <w:hyperlink r:id="rId35">
        <w:r>
          <w:rPr>
            <w:color w:val="0563C1"/>
            <w:sz w:val="20"/>
          </w:rPr>
          <w:t>Outstanding records checklist</w:t>
        </w:r>
      </w:hyperlink>
    </w:p>
    <w:p>
      <w:hyperlink r:id="rId36">
        <w:r>
          <w:rPr>
            <w:color w:val="0563C1"/>
            <w:sz w:val="20"/>
          </w:rPr>
          <w:t>Video recording plan</w:t>
        </w:r>
      </w:hyperlink>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agarajan198205/data/blob/main/Papers/Cognizant_TESTA_AI_Quality_Assurance_Final.docx" TargetMode="External"/><Relationship Id="rId10" Type="http://schemas.openxmlformats.org/officeDocument/2006/relationships/hyperlink" Target="https://github.com/Nagarajan198205/data/blob/main/Papers/Cognizant_TESTA_Non_Functional_Automation_Final.docx" TargetMode="External"/><Relationship Id="rId11" Type="http://schemas.openxmlformats.org/officeDocument/2006/relationships/hyperlink" Target="https://github.com/Nagarajan198205/data/blob/main/Papers/Cognizant_TESTA_Most_Innovative_Project_Final.docx" TargetMode="External"/><Relationship Id="rId12" Type="http://schemas.openxmlformats.org/officeDocument/2006/relationships/hyperlink" Target="https://github.com/Nagarajan198205/data/blob/main/TESTA_Evidence_Pack.zip" TargetMode="External"/><Relationship Id="rId13" Type="http://schemas.openxmlformats.org/officeDocument/2006/relationships/hyperlink" Target="https://github.com/Nagarajan198205/data/blob/main/Evidence/S01_account_ai_source_digest.txt" TargetMode="External"/><Relationship Id="rId14" Type="http://schemas.openxmlformats.org/officeDocument/2006/relationships/hyperlink" Target="https://github.com/Nagarajan198205/data/blob/main/Evidence/A01_intellisec-overview.jpg" TargetMode="External"/><Relationship Id="rId15" Type="http://schemas.openxmlformats.org/officeDocument/2006/relationships/hyperlink" Target="https://github.com/Nagarajan198205/data/blob/main/Evidence/A02_intellisec-assessment-types.jpg" TargetMode="External"/><Relationship Id="rId16" Type="http://schemas.openxmlformats.org/officeDocument/2006/relationships/hyperlink" Target="https://github.com/Nagarajan198205/data/blob/main/Evidence/A03_intellia11y-platform.jpg" TargetMode="External"/><Relationship Id="rId17" Type="http://schemas.openxmlformats.org/officeDocument/2006/relationships/hyperlink" Target="https://github.com/Nagarajan198205/data/blob/main/Evidence/A04_intellia11y-knowledge.jpg" TargetMode="External"/><Relationship Id="rId18" Type="http://schemas.openxmlformats.org/officeDocument/2006/relationships/hyperlink" Target="https://github.com/Nagarajan198205/data/blob/main/Evidence/A05_inteliperf-platform.jpg" TargetMode="External"/><Relationship Id="rId19" Type="http://schemas.openxmlformats.org/officeDocument/2006/relationships/hyperlink" Target="https://github.com/Nagarajan198205/data/blob/main/Evidence/A06_inteliperf-readiness-framework.jpg" TargetMode="External"/><Relationship Id="rId20" Type="http://schemas.openxmlformats.org/officeDocument/2006/relationships/hyperlink" Target="https://github.com/Nagarajan198205/data/blob/main/Evidence/A07_inteliperf-decision-criteria.jpg" TargetMode="External"/><Relationship Id="rId21" Type="http://schemas.openxmlformats.org/officeDocument/2006/relationships/hyperlink" Target="https://github.com/Nagarajan198205/data/blob/main/Evidence/A08_intellia11y-control-verification.txt" TargetMode="External"/><Relationship Id="rId22" Type="http://schemas.openxmlformats.org/officeDocument/2006/relationships/hyperlink" Target="https://github.com/Nagarajan198205/data/blob/main/Evidence/A09_intellia11y-dataset-integrity.txt" TargetMode="External"/><Relationship Id="rId23" Type="http://schemas.openxmlformats.org/officeDocument/2006/relationships/hyperlink" Target="https://github.com/Nagarajan198205/data/blob/main/Evidence/A10_local_implementation_inspection.txt" TargetMode="External"/><Relationship Id="rId24" Type="http://schemas.openxmlformats.org/officeDocument/2006/relationships/hyperlink" Target="https://github.com/Nagarajan198205/data/tree/main/Evidence/A11_IntelliA11y_Runtime/" TargetMode="External"/><Relationship Id="rId25" Type="http://schemas.openxmlformats.org/officeDocument/2006/relationships/hyperlink" Target="https://github.com/Nagarajan198205/data/tree/main/Evidence/A12_IntelliSec_Runtime/" TargetMode="External"/><Relationship Id="rId26" Type="http://schemas.openxmlformats.org/officeDocument/2006/relationships/hyperlink" Target="https://github.com/Nagarajan198205/data/tree/main/Evidence/A13_Inteliperf_Runtime/" TargetMode="External"/><Relationship Id="rId27" Type="http://schemas.openxmlformats.org/officeDocument/2006/relationships/hyperlink" Target="https://github.com/Nagarajan198205/data/blob/main/Evidence/A14_IntelliA11y_Handoff_Status.txt" TargetMode="External"/><Relationship Id="rId28" Type="http://schemas.openxmlformats.org/officeDocument/2006/relationships/hyperlink" Target="https://github.com/Nagarajan198205/data/blob/main/Evidence/N01_workload_and_alert_transcription.txt" TargetMode="External"/><Relationship Id="rId29" Type="http://schemas.openxmlformats.org/officeDocument/2006/relationships/hyperlink" Target="https://github.com/Nagarajan198205/data/blob/main/Evidence/N02_cache_case_source_digest.txt" TargetMode="External"/><Relationship Id="rId30" Type="http://schemas.openxmlformats.org/officeDocument/2006/relationships/hyperlink" Target="https://github.com/Nagarajan198205/data/blob/main/Evidence/N03_perfops_source_digest.txt" TargetMode="External"/><Relationship Id="rId31" Type="http://schemas.openxmlformats.org/officeDocument/2006/relationships/hyperlink" Target="https://github.com/Nagarajan198205/data/blob/main/Evidence/N04_delivery_record_digest.txt" TargetMode="External"/><Relationship Id="rId32" Type="http://schemas.openxmlformats.org/officeDocument/2006/relationships/hyperlink" Target="https://github.com/Nagarajan198205/data/blob/main/Evidence/S02_shared_regression_source_digest.txt" TargetMode="External"/><Relationship Id="rId33" Type="http://schemas.openxmlformats.org/officeDocument/2006/relationships/hyperlink" Target="https://github.com/Nagarajan198205/data/blob/main/Evidence/Architecture/Cognizant_Intelligent_Platform_Architecture.pdf" TargetMode="External"/><Relationship Id="rId34" Type="http://schemas.openxmlformats.org/officeDocument/2006/relationships/hyperlink" Target="https://github.com/Nagarajan198205/data/blob/main/Evidence/EVIDENCE_INDEX.txt" TargetMode="External"/><Relationship Id="rId35" Type="http://schemas.openxmlformats.org/officeDocument/2006/relationships/hyperlink" Target="https://github.com/Nagarajan198205/data/blob/main/Evidence/EVIDENCE_REQUIRED.txt" TargetMode="External"/><Relationship Id="rId36" Type="http://schemas.openxmlformats.org/officeDocument/2006/relationships/hyperlink" Target="https://github.com/Nagarajan198205/data/blob/main/Evidence/Architecture/Video_Evidence_Plan.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 final papers and evidence</dc:title>
  <dc:subject>OneNote handover and evidence mapping</dc:subject>
  <dc:creator>Cognizant Worldwide Limited UK</dc:creator>
  <cp:keywords/>
  <dc:description/>
  <cp:lastModifiedBy/>
  <cp:revision>1</cp:revision>
  <dcterms:created xsi:type="dcterms:W3CDTF">2013-12-23T23:15:00Z</dcterms:created>
  <dcterms:modified xsi:type="dcterms:W3CDTF">2013-12-23T23:15:00Z</dcterms:modified>
  <cp:category/>
</cp:coreProperties>
</file>