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sz w:val="28"/>
        </w:rPr>
        <w:t>Project Design Phase</w:t>
      </w:r>
    </w:p>
    <w:p>
      <w:pPr>
        <w:spacing w:after="80"/>
        <w:jc w:val="center"/>
      </w:pPr>
      <w:r>
        <w:rPr>
          <w:rFonts w:ascii="Arial" w:hAnsi="Arial"/>
          <w:b/>
          <w:sz w:val="22"/>
        </w:rPr>
        <w:t>Solution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5610"/>
        <w:gridCol w:w="5610"/>
      </w:tblGrid>
      <w:tr>
        <w:tc>
          <w:tcPr>
            <w:tcW w:type="dxa" w:w="260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7710"/>
          </w:tcPr>
          <w:p>
            <w:r>
              <w:t>05 September 2026</w:t>
            </w:r>
          </w:p>
        </w:tc>
      </w:tr>
      <w:tr>
        <w:tc>
          <w:tcPr>
            <w:tcW w:type="dxa" w:w="2608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7710"/>
          </w:tcPr>
          <w:p>
            <w:r>
              <w:t>ServiceNow</w:t>
            </w:r>
          </w:p>
        </w:tc>
      </w:tr>
      <w:tr>
        <w:tc>
          <w:tcPr>
            <w:tcW w:type="dxa" w:w="2608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7710"/>
          </w:tcPr>
          <w:p>
            <w:r>
              <w:t>Medical Diagnosis Center Service Portal</w:t>
            </w:r>
          </w:p>
        </w:tc>
      </w:tr>
      <w:tr>
        <w:tc>
          <w:tcPr>
            <w:tcW w:type="dxa" w:w="2608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7710"/>
          </w:tcPr>
          <w:p>
            <w:r>
              <w:t>4 Marks</w:t>
            </w:r>
          </w:p>
        </w:tc>
      </w:tr>
    </w:tbl>
    <w:p>
      <w:pPr>
        <w:spacing w:before="60" w:after="20"/>
      </w:pPr>
      <w:r>
        <w:rPr>
          <w:b/>
          <w:sz w:val="19"/>
        </w:rPr>
        <w:t>Solution Architecture:</w:t>
      </w:r>
    </w:p>
    <w:p>
      <w:pPr>
        <w:spacing w:after="20"/>
      </w:pPr>
      <w:r>
        <w:t>The solution architecture connects the diagnostic center business problem with the ServiceNow technology solution and shows the patient portal, application logic, automation, notifications, data storage, and administrative access.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552000" cy="32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medical_solution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97" w:right="510" w:bottom="397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