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B59F" w14:textId="77777777" w:rsidR="0094112E" w:rsidRPr="003D472A" w:rsidRDefault="00000000">
      <w:pPr>
        <w:spacing w:after="160"/>
        <w:jc w:val="center"/>
        <w:rPr>
          <w:rFonts w:ascii="Times New Roman" w:hAnsi="Times New Roman" w:cs="Times New Roman"/>
          <w:sz w:val="24"/>
          <w:szCs w:val="24"/>
        </w:rPr>
      </w:pPr>
      <w:r w:rsidRPr="003D472A">
        <w:rPr>
          <w:rFonts w:ascii="Times New Roman" w:hAnsi="Times New Roman" w:cs="Times New Roman"/>
          <w:b/>
          <w:color w:val="000000" w:themeColor="text1"/>
          <w:sz w:val="24"/>
          <w:szCs w:val="24"/>
        </w:rPr>
        <w:t xml:space="preserve">Intelligent Vehicle Assistance and Resilient Navigation During Disaster Events: </w:t>
      </w:r>
      <w:r w:rsidRPr="003D472A">
        <w:rPr>
          <w:rFonts w:ascii="Times New Roman" w:hAnsi="Times New Roman" w:cs="Times New Roman"/>
          <w:b/>
          <w:color w:val="0D0D0D" w:themeColor="text1" w:themeTint="F2"/>
          <w:sz w:val="24"/>
          <w:szCs w:val="24"/>
        </w:rPr>
        <w:t>A Multi-Modal Perception, Hydrologically-Grounded Risk Modeling, and Dynamic A* Routing Architecture</w:t>
      </w:r>
    </w:p>
    <w:p w14:paraId="492DC326" w14:textId="21FC9685" w:rsidR="0094112E" w:rsidRPr="003D472A" w:rsidRDefault="00000000" w:rsidP="003D472A">
      <w:pPr>
        <w:spacing w:after="240"/>
        <w:jc w:val="center"/>
        <w:rPr>
          <w:rFonts w:ascii="Times New Roman" w:hAnsi="Times New Roman" w:cs="Times New Roman"/>
          <w:sz w:val="24"/>
          <w:szCs w:val="24"/>
        </w:rPr>
      </w:pPr>
      <w:r w:rsidRPr="003D472A">
        <w:rPr>
          <w:rFonts w:ascii="Times New Roman" w:hAnsi="Times New Roman" w:cs="Times New Roman"/>
          <w:i/>
          <w:color w:val="6C757D"/>
          <w:sz w:val="24"/>
          <w:szCs w:val="24"/>
        </w:rPr>
        <w:t>Theoretical Mathematical Modeling, Empirical Hydrological Benchmarking, and Field Validation</w:t>
      </w:r>
    </w:p>
    <w:tbl>
      <w:tblPr>
        <w:tblW w:w="0" w:type="auto"/>
        <w:jc w:val="center"/>
        <w:tblLook w:val="04A0" w:firstRow="1" w:lastRow="0" w:firstColumn="1" w:lastColumn="0" w:noHBand="0" w:noVBand="1"/>
      </w:tblPr>
      <w:tblGrid>
        <w:gridCol w:w="4720"/>
      </w:tblGrid>
      <w:tr w:rsidR="0094112E" w:rsidRPr="003D472A" w14:paraId="7AD81755" w14:textId="77777777">
        <w:trPr>
          <w:jc w:val="center"/>
        </w:trPr>
        <w:tc>
          <w:tcPr>
            <w:tcW w:w="9360" w:type="dxa"/>
            <w:tcBorders>
              <w:top w:val="single" w:sz="12" w:space="0" w:color="1F4E79"/>
              <w:bottom w:val="single" w:sz="12" w:space="0" w:color="1F4E79"/>
            </w:tcBorders>
            <w:shd w:val="clear" w:color="auto" w:fill="F1F5F9"/>
            <w:tcMar>
              <w:top w:w="140" w:type="dxa"/>
              <w:left w:w="200" w:type="dxa"/>
              <w:bottom w:w="140" w:type="dxa"/>
              <w:right w:w="200" w:type="dxa"/>
            </w:tcMar>
          </w:tcPr>
          <w:p w14:paraId="7BA474A0"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b/>
                <w:color w:val="1F4E79"/>
                <w:sz w:val="24"/>
                <w:szCs w:val="24"/>
              </w:rPr>
              <w:t>Abstract—</w:t>
            </w:r>
            <w:r w:rsidRPr="003D472A">
              <w:rPr>
                <w:rFonts w:ascii="Times New Roman" w:hAnsi="Times New Roman" w:cs="Times New Roman"/>
                <w:color w:val="212529"/>
                <w:sz w:val="24"/>
                <w:szCs w:val="24"/>
              </w:rPr>
              <w:t xml:space="preserve">Vehicular mobility during extreme natural disasters (pluvial/fluvial flash flooding, encroaching wildfires, seismic landslides, and structural pavement destruction) presents acute life-safety hazards. Conventional navigation engines, designed for nominal traffic optimization, lack real-time sensory perception of physical hazards, hydrological inundation dynamics, and multi-sensor spatial risk fusion. This paper presents an end-to-end intelligent vehicle assistance and emergency routing system that integrates edge-based deep computer vision, hydrologically-grounded machine learning, and disaster-aware dynamic graph pathfinding. The visual perception subsystem utilizes Ultralytics YOLOv11 to perform real-time bounding-box hazard detection across four critical disaster classes (Flood, Fire, Landslide, Road Damage). Concurrently, a tree-boosted environmental risk engine (XGBoost V4) predicts localized road-corridor flood exposure using an 8-variable feature contract featuring European Space Agency Copernicus GLO-30 Height Above Nearest Drainage (HAND) and multi-scale antecedent precipitation metrics. To guarantee scientific integrity and eliminate geographical memorization, the model was </w:t>
            </w:r>
            <w:r w:rsidRPr="003D472A">
              <w:rPr>
                <w:rFonts w:ascii="Times New Roman" w:hAnsi="Times New Roman" w:cs="Times New Roman"/>
                <w:color w:val="212529"/>
                <w:sz w:val="24"/>
                <w:szCs w:val="24"/>
              </w:rPr>
              <w:t>benchmarked on 68 rigorously audited historical flood observations from the Central Water Commission (CWC) and Open-Meteo ERA5 archives across four river basins. On unseen road segments with 0.0% geographical overlap, the proposed architecture achieves 83.33% accuracy, 100.0% recall (zero false negatives), and a 1.0000 ROC-AUC, outperforming prior proxy-dependent models. A central Risk Engine orchestrates multi-modal sensor fusion, outputting a composite risk score (0–100) and severity classifications that dynamically modulate a modified A* pathfinding algorithm. The routing engine applies inverse-distance hazard proximity decay penalties and produces tri-route safety alternatives (Optimal Safe, Alternative Detour, and Emergency Evacuation Corridor) with sub-25ms computational latency. The entire framework is deployed as a resilient FastAPI microservice backed by MongoDB and integrated into a real-time React 19 automotive Heads-Up Display (HUD) with dark glassmorphic styling, SOS dispatch telematics, and role-based administrative incident command. Experimental validations demonstrate robust hazard evasion, zero missed flood hazards on unseen corridors, and resilient failover under degraded connectivity.</w:t>
            </w:r>
          </w:p>
          <w:p w14:paraId="6F1B0693" w14:textId="77777777" w:rsidR="0094112E" w:rsidRPr="003D472A" w:rsidRDefault="00000000">
            <w:pPr>
              <w:spacing w:before="80" w:after="40"/>
              <w:rPr>
                <w:rFonts w:ascii="Times New Roman" w:hAnsi="Times New Roman" w:cs="Times New Roman"/>
                <w:sz w:val="24"/>
                <w:szCs w:val="24"/>
              </w:rPr>
            </w:pPr>
            <w:r w:rsidRPr="003D472A">
              <w:rPr>
                <w:rFonts w:ascii="Times New Roman" w:hAnsi="Times New Roman" w:cs="Times New Roman"/>
                <w:b/>
                <w:color w:val="1F4E79"/>
                <w:sz w:val="24"/>
                <w:szCs w:val="24"/>
              </w:rPr>
              <w:t>Index Terms—</w:t>
            </w:r>
            <w:r w:rsidRPr="003D472A">
              <w:rPr>
                <w:rFonts w:ascii="Times New Roman" w:hAnsi="Times New Roman" w:cs="Times New Roman"/>
                <w:i/>
                <w:sz w:val="24"/>
                <w:szCs w:val="24"/>
              </w:rPr>
              <w:t>Intelligent Transportation Systems (ITS), Advanced Driver Assistance Systems (ADAS), Natural Disaster Navigation, Computer Vision, YOLOv11, Height Above Nearest Drainage (HAND), XGBoost, Environmental Sensor Fusion, Modified A* Search, Emergency Telematics.</w:t>
            </w:r>
          </w:p>
        </w:tc>
      </w:tr>
    </w:tbl>
    <w:p w14:paraId="4F04014D" w14:textId="77777777" w:rsidR="0094112E" w:rsidRPr="003D472A" w:rsidRDefault="0094112E">
      <w:pPr>
        <w:spacing w:after="240"/>
        <w:rPr>
          <w:rFonts w:ascii="Times New Roman" w:hAnsi="Times New Roman" w:cs="Times New Roman"/>
          <w:sz w:val="24"/>
          <w:szCs w:val="24"/>
        </w:rPr>
      </w:pPr>
    </w:p>
    <w:p w14:paraId="67B2D6B0"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lastRenderedPageBreak/>
        <w:t>1. INTRODUCTION &amp; PROBLEM STATEMENT</w:t>
      </w:r>
    </w:p>
    <w:p w14:paraId="52E31778"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Natural catastrophes—including catastrophic pluvial and fluvial flash floods, rapid wildfire propagation, structural landslides, and severe pavement subsidence—are increasing in frequency and severity globally due to accelerating climatic volatility. In the immediate hours following a disaster event, surface transportation infrastructure represents both the primary lifeline for civilian evacuation and emergency responder deployment, as well as the most dangerous point of failure. Vehicles attempting to navigate submerged roads or debris-strewn corridors frequently encounter hydroplaning, engine water ingestion, thermal radiation, structural collapses, or sudden dead-ends caused by impassable blockages.</w:t>
      </w:r>
    </w:p>
    <w:p w14:paraId="6D084842"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Conventional commercial routing platforms (such as Google Maps, Waze, and TomTom) are fundamentally architected around statistical traffic congestion delays derived from mobile probe telemetry. While effective during standard commuting conditions, these systems fail catastrophically during disasters for four fundamental reasons:</w:t>
      </w:r>
    </w:p>
    <w:p w14:paraId="71C8FADE" w14:textId="77777777" w:rsidR="0094112E" w:rsidRPr="003D472A" w:rsidRDefault="00000000">
      <w:pPr>
        <w:spacing w:after="60"/>
        <w:ind w:left="360"/>
        <w:rPr>
          <w:rFonts w:ascii="Times New Roman" w:hAnsi="Times New Roman" w:cs="Times New Roman"/>
          <w:sz w:val="24"/>
          <w:szCs w:val="24"/>
        </w:rPr>
      </w:pPr>
      <w:r w:rsidRPr="003D472A">
        <w:rPr>
          <w:rFonts w:ascii="Times New Roman" w:hAnsi="Times New Roman" w:cs="Times New Roman"/>
          <w:b/>
          <w:color w:val="2E4053"/>
          <w:sz w:val="24"/>
          <w:szCs w:val="24"/>
        </w:rPr>
        <w:t xml:space="preserve">•  Absence of Physical Hazard Semantics: </w:t>
      </w:r>
      <w:r w:rsidRPr="003D472A">
        <w:rPr>
          <w:rFonts w:ascii="Times New Roman" w:hAnsi="Times New Roman" w:cs="Times New Roman"/>
          <w:sz w:val="24"/>
          <w:szCs w:val="24"/>
        </w:rPr>
        <w:t>Nominal systems interpret a completely submerged road as a 'zero-traffic / high-speed' corridor, leading civilian drivers directly into life-threatening flood zones.</w:t>
      </w:r>
    </w:p>
    <w:p w14:paraId="464D1042" w14:textId="77777777" w:rsidR="0094112E" w:rsidRPr="003D472A" w:rsidRDefault="00000000">
      <w:pPr>
        <w:spacing w:after="60"/>
        <w:ind w:left="360"/>
        <w:rPr>
          <w:rFonts w:ascii="Times New Roman" w:hAnsi="Times New Roman" w:cs="Times New Roman"/>
          <w:sz w:val="24"/>
          <w:szCs w:val="24"/>
        </w:rPr>
      </w:pPr>
      <w:r w:rsidRPr="003D472A">
        <w:rPr>
          <w:rFonts w:ascii="Times New Roman" w:hAnsi="Times New Roman" w:cs="Times New Roman"/>
          <w:b/>
          <w:color w:val="2E4053"/>
          <w:sz w:val="24"/>
          <w:szCs w:val="24"/>
        </w:rPr>
        <w:t xml:space="preserve">•  Latency of Crowd-Sourced Incident Reports: </w:t>
      </w:r>
      <w:r w:rsidRPr="003D472A">
        <w:rPr>
          <w:rFonts w:ascii="Times New Roman" w:hAnsi="Times New Roman" w:cs="Times New Roman"/>
          <w:sz w:val="24"/>
          <w:szCs w:val="24"/>
        </w:rPr>
        <w:t xml:space="preserve">Crowd-sourced hazard reporting requires human intervention and mobile connectivity, which are </w:t>
      </w:r>
      <w:r w:rsidRPr="003D472A">
        <w:rPr>
          <w:rFonts w:ascii="Times New Roman" w:hAnsi="Times New Roman" w:cs="Times New Roman"/>
          <w:sz w:val="24"/>
          <w:szCs w:val="24"/>
        </w:rPr>
        <w:t>frequently severed during extreme weather events, yielding stale or missing warnings.</w:t>
      </w:r>
    </w:p>
    <w:p w14:paraId="15758653" w14:textId="77777777" w:rsidR="0094112E" w:rsidRPr="003D472A" w:rsidRDefault="00000000">
      <w:pPr>
        <w:spacing w:after="60"/>
        <w:ind w:left="360"/>
        <w:rPr>
          <w:rFonts w:ascii="Times New Roman" w:hAnsi="Times New Roman" w:cs="Times New Roman"/>
          <w:sz w:val="24"/>
          <w:szCs w:val="24"/>
        </w:rPr>
      </w:pPr>
      <w:r w:rsidRPr="003D472A">
        <w:rPr>
          <w:rFonts w:ascii="Times New Roman" w:hAnsi="Times New Roman" w:cs="Times New Roman"/>
          <w:b/>
          <w:color w:val="2E4053"/>
          <w:sz w:val="24"/>
          <w:szCs w:val="24"/>
        </w:rPr>
        <w:t xml:space="preserve">•  Disregard of Hydrological Basin Dynamics: </w:t>
      </w:r>
      <w:r w:rsidRPr="003D472A">
        <w:rPr>
          <w:rFonts w:ascii="Times New Roman" w:hAnsi="Times New Roman" w:cs="Times New Roman"/>
          <w:sz w:val="24"/>
          <w:szCs w:val="24"/>
        </w:rPr>
        <w:t>Flooding is governed by upstream catchment accumulation, terrain topography, and river stage progression rather than localized instant precipitation alone. Standard platforms possess zero awareness of hydrological connectivity.</w:t>
      </w:r>
    </w:p>
    <w:p w14:paraId="58AEE987" w14:textId="77777777" w:rsidR="0094112E" w:rsidRPr="003D472A" w:rsidRDefault="00000000">
      <w:pPr>
        <w:spacing w:after="60"/>
        <w:ind w:left="360"/>
        <w:rPr>
          <w:rFonts w:ascii="Times New Roman" w:hAnsi="Times New Roman" w:cs="Times New Roman"/>
          <w:sz w:val="24"/>
          <w:szCs w:val="24"/>
        </w:rPr>
      </w:pPr>
      <w:r w:rsidRPr="003D472A">
        <w:rPr>
          <w:rFonts w:ascii="Times New Roman" w:hAnsi="Times New Roman" w:cs="Times New Roman"/>
          <w:b/>
          <w:color w:val="2E4053"/>
          <w:sz w:val="24"/>
          <w:szCs w:val="24"/>
        </w:rPr>
        <w:t xml:space="preserve">•  Lack of Sensor-Informed Autonomous Evasion: </w:t>
      </w:r>
      <w:r w:rsidRPr="003D472A">
        <w:rPr>
          <w:rFonts w:ascii="Times New Roman" w:hAnsi="Times New Roman" w:cs="Times New Roman"/>
          <w:sz w:val="24"/>
          <w:szCs w:val="24"/>
        </w:rPr>
        <w:t>Existing in-vehicle telematics fail to fuse onboard optical camera perception with regional environmental forecasting to make autonomous, real-time rerouting decisions.</w:t>
      </w:r>
    </w:p>
    <w:p w14:paraId="4941D5E8"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To resolve these challenges, this study presents the design, mathematical formulation, empirical benchmarking, and full-stack software implementation of the Intelligent Vehicle Assistance During Disasters (IVADD) system.</w:t>
      </w:r>
    </w:p>
    <w:p w14:paraId="7DB7F467"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2. RELATED WORK &amp; LITERATURE REVIEW</w:t>
      </w:r>
    </w:p>
    <w:p w14:paraId="15280C6E"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2.1 Computer Vision for Post-Disaster Damage Assessment</w:t>
      </w:r>
    </w:p>
    <w:p w14:paraId="3C7198ED"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 xml:space="preserve">Over the past decade, convolutional neural networks (CNNs) and vision transformers have revolutionized remote sensing and road inspection. The FloodNet benchmark dataset introduced high-resolution unmanned aerial vehicle (UAV) imagery captured after Hurricane Harvey, establishing a standard for segmenting flooded roads, submerged infrastructure, and rescue navigation corridors. Concurrently, the Road Damage </w:t>
      </w:r>
      <w:r w:rsidRPr="003D472A">
        <w:rPr>
          <w:rFonts w:ascii="Times New Roman" w:hAnsi="Times New Roman" w:cs="Times New Roman"/>
          <w:color w:val="212529"/>
          <w:sz w:val="24"/>
          <w:szCs w:val="24"/>
        </w:rPr>
        <w:lastRenderedPageBreak/>
        <w:t>Detection 2022 (RDD2022) initiative compiled multi-national smartphone camera datasets annotating longitudinal cracks, transverse cracks, alligator cracking, and severe potholes across Japan, India, the Czech Republic, and Norway. For thermal and wildfire reconnaissance, the FLAME dataset provided thermal and optical aerial imagery of active fire fronts and smoke plumes. While these specialized datasets advanced domain-specific visual detection, previous works have operated primarily in offline forensic analysis rather than real-time vehicle guidance.</w:t>
      </w:r>
    </w:p>
    <w:p w14:paraId="6D048214"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2.2 Hydrological Inundation Modeling &amp; The HAND Paradigm</w:t>
      </w:r>
    </w:p>
    <w:p w14:paraId="60FF2C21"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Fluvial flood risk assessment has historically relied on 1D/2D hydrodynamic numerical solvers such as HEC-RAS or LISFLOOD-FP. While physically rigorous, hydrodynamic solvers require extensive bathymetric calibration, high computational overhead, and runtime latencies measured in hours, making them unsuitable for in-vehicle dynamic navigation. In contrast, Height Above Nearest Drainage (HAND), pioneered by Rennó et al. and Nobre et al., normalizes digital elevation models (DEMs) by computing the local relative vertical distance between any terrain coordinate and the drainage stream network to which it hydrologically drains. By decoupling terrain elevation from regional sea-level datums, HAND provides a computationally lightweight, static proxy for gravitational inundation clearance, serving as a physical foundation for machine learning classifiers.</w:t>
      </w:r>
    </w:p>
    <w:p w14:paraId="384CD95C"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3. END-TO-END SYSTEM ARCHITECTURE</w:t>
      </w:r>
    </w:p>
    <w:p w14:paraId="773B836C"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The IVADD system is architected as a modular, distributed, multi-tiered framework designed for high-availability vehicular and incident command operations. Figure 1 illustrates the end-to-end operational workflow spanning field telemetry, AI perception, database persistence, and user interfaces.</w:t>
      </w:r>
    </w:p>
    <w:p w14:paraId="412DC0BE" w14:textId="77777777" w:rsidR="0094112E" w:rsidRPr="003D472A" w:rsidRDefault="0094112E">
      <w:pPr>
        <w:spacing w:before="160" w:after="40"/>
        <w:jc w:val="center"/>
        <w:rPr>
          <w:rFonts w:ascii="Times New Roman" w:hAnsi="Times New Roman" w:cs="Times New Roman"/>
          <w:sz w:val="24"/>
          <w:szCs w:val="24"/>
        </w:rPr>
      </w:pPr>
    </w:p>
    <w:p w14:paraId="13481244"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65A3529B" wp14:editId="45A4EF3B">
            <wp:extent cx="5669280" cy="3164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s_system_architecture.jpg"/>
                    <pic:cNvPicPr/>
                  </pic:nvPicPr>
                  <pic:blipFill>
                    <a:blip r:embed="rId6"/>
                    <a:stretch>
                      <a:fillRect/>
                    </a:stretch>
                  </pic:blipFill>
                  <pic:spPr>
                    <a:xfrm>
                      <a:off x="0" y="0"/>
                      <a:ext cx="5669280" cy="3164249"/>
                    </a:xfrm>
                    <a:prstGeom prst="rect">
                      <a:avLst/>
                    </a:prstGeom>
                  </pic:spPr>
                </pic:pic>
              </a:graphicData>
            </a:graphic>
          </wp:inline>
        </w:drawing>
      </w:r>
    </w:p>
    <w:p w14:paraId="4EF17AFE"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1: </w:t>
      </w:r>
      <w:r w:rsidRPr="003D472A">
        <w:rPr>
          <w:rFonts w:ascii="Times New Roman" w:hAnsi="Times New Roman" w:cs="Times New Roman"/>
          <w:i/>
          <w:color w:val="212529"/>
          <w:sz w:val="24"/>
          <w:szCs w:val="24"/>
        </w:rPr>
        <w:t>Comprehensive End-to-End System Architecture of the Intelligent Vehicle Assistance Platform, illustrating vehicular sensing, edge inference, backend persistence, and incident command orchestration.</w:t>
      </w:r>
    </w:p>
    <w:p w14:paraId="21083645"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3.1 Backend Core Microservice Stack</w:t>
      </w:r>
    </w:p>
    <w:p w14:paraId="5316C04B"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 xml:space="preserve">The backend engine is developed in Python 3.12 utilizing the asynchronous FastAPI framework. Key structural components include non-blocking request pipelines, </w:t>
      </w:r>
      <w:r w:rsidRPr="003D472A">
        <w:rPr>
          <w:rFonts w:ascii="Times New Roman" w:hAnsi="Times New Roman" w:cs="Times New Roman"/>
          <w:color w:val="212529"/>
          <w:sz w:val="24"/>
          <w:szCs w:val="24"/>
        </w:rPr>
        <w:lastRenderedPageBreak/>
        <w:t>strict Pydantic schemas, and resilient MongoDB Atlas persistence with an automatic in-memory fallback mechanism (Figure 2).</w:t>
      </w:r>
    </w:p>
    <w:p w14:paraId="2ADBE52C" w14:textId="77777777" w:rsidR="0094112E" w:rsidRPr="003D472A" w:rsidRDefault="0094112E">
      <w:pPr>
        <w:spacing w:before="160" w:after="40"/>
        <w:jc w:val="center"/>
        <w:rPr>
          <w:rFonts w:ascii="Times New Roman" w:hAnsi="Times New Roman" w:cs="Times New Roman"/>
          <w:sz w:val="24"/>
          <w:szCs w:val="24"/>
        </w:rPr>
      </w:pPr>
    </w:p>
    <w:p w14:paraId="50F3A05A"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637A8BFD" wp14:editId="6F5955C7">
            <wp:extent cx="5669280" cy="3164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core_architecture.jpg"/>
                    <pic:cNvPicPr/>
                  </pic:nvPicPr>
                  <pic:blipFill>
                    <a:blip r:embed="rId7"/>
                    <a:stretch>
                      <a:fillRect/>
                    </a:stretch>
                  </pic:blipFill>
                  <pic:spPr>
                    <a:xfrm>
                      <a:off x="0" y="0"/>
                      <a:ext cx="5669280" cy="3164249"/>
                    </a:xfrm>
                    <a:prstGeom prst="rect">
                      <a:avLst/>
                    </a:prstGeom>
                  </pic:spPr>
                </pic:pic>
              </a:graphicData>
            </a:graphic>
          </wp:inline>
        </w:drawing>
      </w:r>
    </w:p>
    <w:p w14:paraId="2D5B6E98"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2: </w:t>
      </w:r>
      <w:r w:rsidRPr="003D472A">
        <w:rPr>
          <w:rFonts w:ascii="Times New Roman" w:hAnsi="Times New Roman" w:cs="Times New Roman"/>
          <w:i/>
          <w:color w:val="212529"/>
          <w:sz w:val="24"/>
          <w:szCs w:val="24"/>
        </w:rPr>
        <w:t>Detailed Backend Core Architecture depicting the API gateway, dual ML inference pipelines (YOLOv11 and XGBoost), centralized risk orchestration, and multi-tier database persistence layers.</w:t>
      </w:r>
    </w:p>
    <w:p w14:paraId="27AE8527"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4. OPTICAL HAZARD PERCEPTION VIA ULTRALYTICS YOLOv11</w:t>
      </w:r>
    </w:p>
    <w:p w14:paraId="6D36EB07"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The optical perception subsystem processes RGB video frames captured by forward-facing vehicle dashcams or aerial reconnaissance drones. We deploy Ultralytics YOLOv11, which incorporates an enhanced C3k2 feature extractor, Spatial Pyramid Pooling - Fast (SPPF), and an attention-guided Path Aggregation Network (PAN).</w:t>
      </w:r>
    </w:p>
    <w:p w14:paraId="6EE35EC8"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4.1 Mathematical Object Detection Formulation</w:t>
      </w:r>
    </w:p>
    <w:p w14:paraId="23B80695"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For an input image I in R</w:t>
      </w:r>
      <w:proofErr w:type="gramStart"/>
      <w:r w:rsidRPr="003D472A">
        <w:rPr>
          <w:rFonts w:ascii="Times New Roman" w:hAnsi="Times New Roman" w:cs="Times New Roman"/>
          <w:color w:val="212529"/>
          <w:sz w:val="24"/>
          <w:szCs w:val="24"/>
        </w:rPr>
        <w:t>^{</w:t>
      </w:r>
      <w:proofErr w:type="gramEnd"/>
      <w:r w:rsidRPr="003D472A">
        <w:rPr>
          <w:rFonts w:ascii="Times New Roman" w:hAnsi="Times New Roman" w:cs="Times New Roman"/>
          <w:color w:val="212529"/>
          <w:sz w:val="24"/>
          <w:szCs w:val="24"/>
        </w:rPr>
        <w:t xml:space="preserve">H x W x 3}, YOLOv11 predicts a set of bounding boxes B_i = (x_c, y_c, w, h), objectness confidence p_obj in [0, 1], and class distribution </w:t>
      </w:r>
      <w:proofErr w:type="gramStart"/>
      <w:r w:rsidRPr="003D472A">
        <w:rPr>
          <w:rFonts w:ascii="Times New Roman" w:hAnsi="Times New Roman" w:cs="Times New Roman"/>
          <w:color w:val="212529"/>
          <w:sz w:val="24"/>
          <w:szCs w:val="24"/>
        </w:rPr>
        <w:t>P(</w:t>
      </w:r>
      <w:proofErr w:type="gramEnd"/>
      <w:r w:rsidRPr="003D472A">
        <w:rPr>
          <w:rFonts w:ascii="Times New Roman" w:hAnsi="Times New Roman" w:cs="Times New Roman"/>
          <w:color w:val="212529"/>
          <w:sz w:val="24"/>
          <w:szCs w:val="24"/>
        </w:rPr>
        <w:t>C_k | obj) across four classes: Flood (k=0), Fire (k=1), Landslide (k=2), and Road Damage (k=3). The multi-task loss function is defined as:</w:t>
      </w:r>
    </w:p>
    <w:tbl>
      <w:tblPr>
        <w:tblW w:w="0" w:type="auto"/>
        <w:jc w:val="center"/>
        <w:tblLook w:val="04A0" w:firstRow="1" w:lastRow="0" w:firstColumn="1" w:lastColumn="0" w:noHBand="0" w:noVBand="1"/>
      </w:tblPr>
      <w:tblGrid>
        <w:gridCol w:w="2719"/>
        <w:gridCol w:w="2001"/>
      </w:tblGrid>
      <w:tr w:rsidR="0094112E" w:rsidRPr="003D472A" w14:paraId="61E69E17" w14:textId="77777777">
        <w:trPr>
          <w:jc w:val="center"/>
        </w:trPr>
        <w:tc>
          <w:tcPr>
            <w:tcW w:w="4680" w:type="dxa"/>
            <w:shd w:val="clear" w:color="auto" w:fill="FAFBFC"/>
            <w:tcMar>
              <w:top w:w="90" w:type="dxa"/>
              <w:left w:w="200" w:type="dxa"/>
              <w:bottom w:w="90" w:type="dxa"/>
              <w:right w:w="100" w:type="dxa"/>
            </w:tcMar>
          </w:tcPr>
          <w:p w14:paraId="65E15991"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L_{YOLO} = lambda_{box} L_{CIoU</w:t>
            </w:r>
            <w:proofErr w:type="gramStart"/>
            <w:r w:rsidRPr="003D472A">
              <w:rPr>
                <w:rFonts w:ascii="Times New Roman" w:hAnsi="Times New Roman" w:cs="Times New Roman"/>
                <w:i/>
                <w:color w:val="111827"/>
                <w:sz w:val="24"/>
                <w:szCs w:val="24"/>
              </w:rPr>
              <w:t>}(</w:t>
            </w:r>
            <w:proofErr w:type="gramEnd"/>
            <w:r w:rsidRPr="003D472A">
              <w:rPr>
                <w:rFonts w:ascii="Times New Roman" w:hAnsi="Times New Roman" w:cs="Times New Roman"/>
                <w:i/>
                <w:color w:val="111827"/>
                <w:sz w:val="24"/>
                <w:szCs w:val="24"/>
              </w:rPr>
              <w:t>B, B^*) + lambda_{cls} L_{BCE</w:t>
            </w:r>
            <w:proofErr w:type="gramStart"/>
            <w:r w:rsidRPr="003D472A">
              <w:rPr>
                <w:rFonts w:ascii="Times New Roman" w:hAnsi="Times New Roman" w:cs="Times New Roman"/>
                <w:i/>
                <w:color w:val="111827"/>
                <w:sz w:val="24"/>
                <w:szCs w:val="24"/>
              </w:rPr>
              <w:t>}(</w:t>
            </w:r>
            <w:proofErr w:type="gramEnd"/>
            <w:r w:rsidRPr="003D472A">
              <w:rPr>
                <w:rFonts w:ascii="Times New Roman" w:hAnsi="Times New Roman" w:cs="Times New Roman"/>
                <w:i/>
                <w:color w:val="111827"/>
                <w:sz w:val="24"/>
                <w:szCs w:val="24"/>
              </w:rPr>
              <w:t>C, C^*) + lambda_{dfl} L_{DFL</w:t>
            </w:r>
            <w:proofErr w:type="gramStart"/>
            <w:r w:rsidRPr="003D472A">
              <w:rPr>
                <w:rFonts w:ascii="Times New Roman" w:hAnsi="Times New Roman" w:cs="Times New Roman"/>
                <w:i/>
                <w:color w:val="111827"/>
                <w:sz w:val="24"/>
                <w:szCs w:val="24"/>
              </w:rPr>
              <w:t>}(</w:t>
            </w:r>
            <w:proofErr w:type="gramEnd"/>
            <w:r w:rsidRPr="003D472A">
              <w:rPr>
                <w:rFonts w:ascii="Times New Roman" w:hAnsi="Times New Roman" w:cs="Times New Roman"/>
                <w:i/>
                <w:color w:val="111827"/>
                <w:sz w:val="24"/>
                <w:szCs w:val="24"/>
              </w:rPr>
              <w:t>B, B^*)</w:t>
            </w:r>
          </w:p>
        </w:tc>
        <w:tc>
          <w:tcPr>
            <w:tcW w:w="4680" w:type="dxa"/>
            <w:shd w:val="clear" w:color="auto" w:fill="FAFBFC"/>
            <w:tcMar>
              <w:top w:w="90" w:type="dxa"/>
              <w:left w:w="100" w:type="dxa"/>
              <w:bottom w:w="90" w:type="dxa"/>
              <w:right w:w="200" w:type="dxa"/>
            </w:tcMar>
          </w:tcPr>
          <w:p w14:paraId="11360EE8"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(1)</w:t>
            </w:r>
          </w:p>
        </w:tc>
      </w:tr>
    </w:tbl>
    <w:p w14:paraId="674BC0F4" w14:textId="77777777" w:rsidR="0094112E" w:rsidRPr="003D472A" w:rsidRDefault="0094112E">
      <w:pPr>
        <w:spacing w:after="80"/>
        <w:rPr>
          <w:rFonts w:ascii="Times New Roman" w:hAnsi="Times New Roman" w:cs="Times New Roman"/>
          <w:sz w:val="24"/>
          <w:szCs w:val="24"/>
        </w:rPr>
      </w:pPr>
    </w:p>
    <w:p w14:paraId="6036405B"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where L_{CIoU} incorporates overlap area, central point distance, and aspect ratio consistency. Figure 3 illustrates the empirical loss trajectories and precision-recall dynamics observed across 50 epochs of training on the multi-hazard disaster benchmark.</w:t>
      </w:r>
    </w:p>
    <w:p w14:paraId="1C4FDC98" w14:textId="77777777" w:rsidR="0094112E" w:rsidRPr="003D472A" w:rsidRDefault="0094112E">
      <w:pPr>
        <w:spacing w:before="160" w:after="40"/>
        <w:jc w:val="center"/>
        <w:rPr>
          <w:rFonts w:ascii="Times New Roman" w:hAnsi="Times New Roman" w:cs="Times New Roman"/>
          <w:sz w:val="24"/>
          <w:szCs w:val="24"/>
        </w:rPr>
      </w:pPr>
    </w:p>
    <w:p w14:paraId="3ECE7E86"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lastRenderedPageBreak/>
        <w:drawing>
          <wp:inline distT="0" distB="0" distL="0" distR="0" wp14:anchorId="513CB093" wp14:editId="204EC5DB">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yolo_training_curves.png"/>
                    <pic:cNvPicPr/>
                  </pic:nvPicPr>
                  <pic:blipFill>
                    <a:blip r:embed="rId8"/>
                    <a:stretch>
                      <a:fillRect/>
                    </a:stretch>
                  </pic:blipFill>
                  <pic:spPr>
                    <a:xfrm>
                      <a:off x="0" y="0"/>
                      <a:ext cx="5669280" cy="4251960"/>
                    </a:xfrm>
                    <a:prstGeom prst="rect">
                      <a:avLst/>
                    </a:prstGeom>
                  </pic:spPr>
                </pic:pic>
              </a:graphicData>
            </a:graphic>
          </wp:inline>
        </w:drawing>
      </w:r>
    </w:p>
    <w:p w14:paraId="12D8A337"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3: </w:t>
      </w:r>
      <w:r w:rsidRPr="003D472A">
        <w:rPr>
          <w:rFonts w:ascii="Times New Roman" w:hAnsi="Times New Roman" w:cs="Times New Roman"/>
          <w:i/>
          <w:color w:val="212529"/>
          <w:sz w:val="24"/>
          <w:szCs w:val="24"/>
        </w:rPr>
        <w:t>YOLOv11 Deep Neural Network Training Dynamics across 50 Epochs: (a) Bounding Box Regression Loss, (b) Object Classification Loss, (c) Detection Precision &amp; Recall Dynamics, and (d) Mean Average Precision (mAP@0.5 and mAP@0.5:0.95).</w:t>
      </w:r>
    </w:p>
    <w:p w14:paraId="1BFA21DD"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4.2 Multi-Class Confusion Matrix</w:t>
      </w:r>
    </w:p>
    <w:p w14:paraId="65F1ED8E"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Figure 4 details the normalized multi-class confusion matrix, demonstrating robust class differentiation with minimal cross-class leakage between water reflection artifacts and road asphalt damage.</w:t>
      </w:r>
    </w:p>
    <w:p w14:paraId="0D334B5D" w14:textId="77777777" w:rsidR="0094112E" w:rsidRPr="003D472A" w:rsidRDefault="0094112E">
      <w:pPr>
        <w:spacing w:before="160" w:after="40"/>
        <w:jc w:val="center"/>
        <w:rPr>
          <w:rFonts w:ascii="Times New Roman" w:hAnsi="Times New Roman" w:cs="Times New Roman"/>
          <w:sz w:val="24"/>
          <w:szCs w:val="24"/>
        </w:rPr>
      </w:pPr>
    </w:p>
    <w:p w14:paraId="03DEDC0C"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09091CDB" wp14:editId="3DA4BD2C">
            <wp:extent cx="475488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9"/>
                    <a:stretch>
                      <a:fillRect/>
                    </a:stretch>
                  </pic:blipFill>
                  <pic:spPr>
                    <a:xfrm>
                      <a:off x="0" y="0"/>
                      <a:ext cx="4754880" cy="3566160"/>
                    </a:xfrm>
                    <a:prstGeom prst="rect">
                      <a:avLst/>
                    </a:prstGeom>
                  </pic:spPr>
                </pic:pic>
              </a:graphicData>
            </a:graphic>
          </wp:inline>
        </w:drawing>
      </w:r>
    </w:p>
    <w:p w14:paraId="17AC60C0"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4: </w:t>
      </w:r>
      <w:r w:rsidRPr="003D472A">
        <w:rPr>
          <w:rFonts w:ascii="Times New Roman" w:hAnsi="Times New Roman" w:cs="Times New Roman"/>
          <w:i/>
          <w:color w:val="212529"/>
          <w:sz w:val="24"/>
          <w:szCs w:val="24"/>
        </w:rPr>
        <w:t>Normalized Multi-Class Confusion Matrix for YOLOv11 Hazard Classes (Flood, Fire, Landslide, Road Damage) on Held-Out Test Split.</w:t>
      </w:r>
    </w:p>
    <w:p w14:paraId="4B08558E"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5. HYDROLOGICALLY-GROUNDED MACHINE LEARNING VIA XGBOOST V4</w:t>
      </w:r>
    </w:p>
    <w:p w14:paraId="19C6FE15"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5.1 Height Above Nearest Drainage (HAND) Formulation</w:t>
      </w:r>
    </w:p>
    <w:p w14:paraId="020E28C6"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To model environmental flood exposure beyond camera line-of-sight, we utilize Height Above Nearest Drainage (HAND). Let x = (lat, lon) denote the centroid of a road segment. The drainage stream network is defined by flowlines D derived from hydraulic flow accumulation. HAND is defined as the vertical elevation difference between the road cell and the drainage channel cell to which it hydrologically discharges:</w:t>
      </w:r>
    </w:p>
    <w:tbl>
      <w:tblPr>
        <w:tblW w:w="0" w:type="auto"/>
        <w:jc w:val="center"/>
        <w:tblLook w:val="04A0" w:firstRow="1" w:lastRow="0" w:firstColumn="1" w:lastColumn="0" w:noHBand="0" w:noVBand="1"/>
      </w:tblPr>
      <w:tblGrid>
        <w:gridCol w:w="2781"/>
        <w:gridCol w:w="1939"/>
      </w:tblGrid>
      <w:tr w:rsidR="0094112E" w:rsidRPr="003D472A" w14:paraId="7976705C" w14:textId="77777777">
        <w:trPr>
          <w:jc w:val="center"/>
        </w:trPr>
        <w:tc>
          <w:tcPr>
            <w:tcW w:w="4680" w:type="dxa"/>
            <w:shd w:val="clear" w:color="auto" w:fill="FAFBFC"/>
            <w:tcMar>
              <w:top w:w="90" w:type="dxa"/>
              <w:left w:w="200" w:type="dxa"/>
              <w:bottom w:w="90" w:type="dxa"/>
              <w:right w:w="100" w:type="dxa"/>
            </w:tcMar>
          </w:tcPr>
          <w:p w14:paraId="743EEFCB"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lastRenderedPageBreak/>
              <w:t>HAND(x) = z(x) - z(x_{drainage})</w:t>
            </w:r>
          </w:p>
        </w:tc>
        <w:tc>
          <w:tcPr>
            <w:tcW w:w="4680" w:type="dxa"/>
            <w:shd w:val="clear" w:color="auto" w:fill="FAFBFC"/>
            <w:tcMar>
              <w:top w:w="90" w:type="dxa"/>
              <w:left w:w="100" w:type="dxa"/>
              <w:bottom w:w="90" w:type="dxa"/>
              <w:right w:w="200" w:type="dxa"/>
            </w:tcMar>
          </w:tcPr>
          <w:p w14:paraId="2D8243F9"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(2)</w:t>
            </w:r>
          </w:p>
        </w:tc>
      </w:tr>
    </w:tbl>
    <w:p w14:paraId="4FC16F82" w14:textId="77777777" w:rsidR="0094112E" w:rsidRPr="003D472A" w:rsidRDefault="0094112E">
      <w:pPr>
        <w:spacing w:after="80"/>
        <w:rPr>
          <w:rFonts w:ascii="Times New Roman" w:hAnsi="Times New Roman" w:cs="Times New Roman"/>
          <w:sz w:val="24"/>
          <w:szCs w:val="24"/>
        </w:rPr>
      </w:pPr>
    </w:p>
    <w:p w14:paraId="4ADFB241"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where z(x) is surface elevation extracted from Copernicus GLO-30 DEM (30m resolution), and x_{drainage} is the hydrologically connected channel thalweg coordinate along drainage network D. Fluvial overflow occurs when river flood stage h_{flood}(t) exceeds channel bank height:</w:t>
      </w:r>
    </w:p>
    <w:tbl>
      <w:tblPr>
        <w:tblW w:w="0" w:type="auto"/>
        <w:jc w:val="center"/>
        <w:tblLook w:val="04A0" w:firstRow="1" w:lastRow="0" w:firstColumn="1" w:lastColumn="0" w:noHBand="0" w:noVBand="1"/>
      </w:tblPr>
      <w:tblGrid>
        <w:gridCol w:w="2636"/>
        <w:gridCol w:w="2084"/>
      </w:tblGrid>
      <w:tr w:rsidR="0094112E" w:rsidRPr="003D472A" w14:paraId="1A666783" w14:textId="77777777">
        <w:trPr>
          <w:jc w:val="center"/>
        </w:trPr>
        <w:tc>
          <w:tcPr>
            <w:tcW w:w="4680" w:type="dxa"/>
            <w:shd w:val="clear" w:color="auto" w:fill="FAFBFC"/>
            <w:tcMar>
              <w:top w:w="90" w:type="dxa"/>
              <w:left w:w="200" w:type="dxa"/>
              <w:bottom w:w="90" w:type="dxa"/>
              <w:right w:w="100" w:type="dxa"/>
            </w:tcMar>
          </w:tcPr>
          <w:p w14:paraId="02C65443"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 xml:space="preserve">h_{flood}(t) &gt; HAND(x) ==&gt; </w:t>
            </w:r>
            <w:proofErr w:type="gramStart"/>
            <w:r w:rsidRPr="003D472A">
              <w:rPr>
                <w:rFonts w:ascii="Times New Roman" w:hAnsi="Times New Roman" w:cs="Times New Roman"/>
                <w:i/>
                <w:color w:val="111827"/>
                <w:sz w:val="24"/>
                <w:szCs w:val="24"/>
              </w:rPr>
              <w:t>Exposure(</w:t>
            </w:r>
            <w:proofErr w:type="gramEnd"/>
            <w:r w:rsidRPr="003D472A">
              <w:rPr>
                <w:rFonts w:ascii="Times New Roman" w:hAnsi="Times New Roman" w:cs="Times New Roman"/>
                <w:i/>
                <w:color w:val="111827"/>
                <w:sz w:val="24"/>
                <w:szCs w:val="24"/>
              </w:rPr>
              <w:t>x, t) = 1</w:t>
            </w:r>
          </w:p>
        </w:tc>
        <w:tc>
          <w:tcPr>
            <w:tcW w:w="4680" w:type="dxa"/>
            <w:shd w:val="clear" w:color="auto" w:fill="FAFBFC"/>
            <w:tcMar>
              <w:top w:w="90" w:type="dxa"/>
              <w:left w:w="100" w:type="dxa"/>
              <w:bottom w:w="90" w:type="dxa"/>
              <w:right w:w="200" w:type="dxa"/>
            </w:tcMar>
          </w:tcPr>
          <w:p w14:paraId="0D9B505B"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(3)</w:t>
            </w:r>
          </w:p>
        </w:tc>
      </w:tr>
    </w:tbl>
    <w:p w14:paraId="659DDCC3" w14:textId="77777777" w:rsidR="0094112E" w:rsidRPr="003D472A" w:rsidRDefault="0094112E">
      <w:pPr>
        <w:spacing w:after="80"/>
        <w:rPr>
          <w:rFonts w:ascii="Times New Roman" w:hAnsi="Times New Roman" w:cs="Times New Roman"/>
          <w:sz w:val="24"/>
          <w:szCs w:val="24"/>
        </w:rPr>
      </w:pPr>
    </w:p>
    <w:p w14:paraId="742B0C50"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5.2 Gradient Boosted Tree Optimization Formulation</w:t>
      </w:r>
    </w:p>
    <w:p w14:paraId="32845359"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XGBoost minimizes a regularized objective function at boosting step t using a second-order Taylor expansion of the loss function:</w:t>
      </w:r>
    </w:p>
    <w:tbl>
      <w:tblPr>
        <w:tblW w:w="0" w:type="auto"/>
        <w:jc w:val="center"/>
        <w:tblLook w:val="04A0" w:firstRow="1" w:lastRow="0" w:firstColumn="1" w:lastColumn="0" w:noHBand="0" w:noVBand="1"/>
      </w:tblPr>
      <w:tblGrid>
        <w:gridCol w:w="2683"/>
        <w:gridCol w:w="2037"/>
      </w:tblGrid>
      <w:tr w:rsidR="0094112E" w:rsidRPr="003D472A" w14:paraId="76FF59E8" w14:textId="77777777">
        <w:trPr>
          <w:jc w:val="center"/>
        </w:trPr>
        <w:tc>
          <w:tcPr>
            <w:tcW w:w="4680" w:type="dxa"/>
            <w:shd w:val="clear" w:color="auto" w:fill="FAFBFC"/>
            <w:tcMar>
              <w:top w:w="90" w:type="dxa"/>
              <w:left w:w="200" w:type="dxa"/>
              <w:bottom w:w="90" w:type="dxa"/>
              <w:right w:w="100" w:type="dxa"/>
            </w:tcMar>
          </w:tcPr>
          <w:p w14:paraId="197E4198"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L^{(t)} approx sum_{i=</w:t>
            </w:r>
            <w:proofErr w:type="gramStart"/>
            <w:r w:rsidRPr="003D472A">
              <w:rPr>
                <w:rFonts w:ascii="Times New Roman" w:hAnsi="Times New Roman" w:cs="Times New Roman"/>
                <w:i/>
                <w:color w:val="111827"/>
                <w:sz w:val="24"/>
                <w:szCs w:val="24"/>
              </w:rPr>
              <w:t>1}^</w:t>
            </w:r>
            <w:proofErr w:type="gramEnd"/>
            <w:r w:rsidRPr="003D472A">
              <w:rPr>
                <w:rFonts w:ascii="Times New Roman" w:hAnsi="Times New Roman" w:cs="Times New Roman"/>
                <w:i/>
                <w:color w:val="111827"/>
                <w:sz w:val="24"/>
                <w:szCs w:val="24"/>
              </w:rPr>
              <w:t>n [ g_i f_t(x_i) + 0.5 * h_i f_t^2(x_i</w:t>
            </w:r>
            <w:proofErr w:type="gramStart"/>
            <w:r w:rsidRPr="003D472A">
              <w:rPr>
                <w:rFonts w:ascii="Times New Roman" w:hAnsi="Times New Roman" w:cs="Times New Roman"/>
                <w:i/>
                <w:color w:val="111827"/>
                <w:sz w:val="24"/>
                <w:szCs w:val="24"/>
              </w:rPr>
              <w:t>) ]</w:t>
            </w:r>
            <w:proofErr w:type="gramEnd"/>
            <w:r w:rsidRPr="003D472A">
              <w:rPr>
                <w:rFonts w:ascii="Times New Roman" w:hAnsi="Times New Roman" w:cs="Times New Roman"/>
                <w:i/>
                <w:color w:val="111827"/>
                <w:sz w:val="24"/>
                <w:szCs w:val="24"/>
              </w:rPr>
              <w:t xml:space="preserve"> + gamma * T + 0.5 * lambda * sum_{j=</w:t>
            </w:r>
            <w:proofErr w:type="gramStart"/>
            <w:r w:rsidRPr="003D472A">
              <w:rPr>
                <w:rFonts w:ascii="Times New Roman" w:hAnsi="Times New Roman" w:cs="Times New Roman"/>
                <w:i/>
                <w:color w:val="111827"/>
                <w:sz w:val="24"/>
                <w:szCs w:val="24"/>
              </w:rPr>
              <w:t>1}^</w:t>
            </w:r>
            <w:proofErr w:type="gramEnd"/>
            <w:r w:rsidRPr="003D472A">
              <w:rPr>
                <w:rFonts w:ascii="Times New Roman" w:hAnsi="Times New Roman" w:cs="Times New Roman"/>
                <w:i/>
                <w:color w:val="111827"/>
                <w:sz w:val="24"/>
                <w:szCs w:val="24"/>
              </w:rPr>
              <w:t>T w_j^2</w:t>
            </w:r>
          </w:p>
        </w:tc>
        <w:tc>
          <w:tcPr>
            <w:tcW w:w="4680" w:type="dxa"/>
            <w:shd w:val="clear" w:color="auto" w:fill="FAFBFC"/>
            <w:tcMar>
              <w:top w:w="90" w:type="dxa"/>
              <w:left w:w="100" w:type="dxa"/>
              <w:bottom w:w="90" w:type="dxa"/>
              <w:right w:w="200" w:type="dxa"/>
            </w:tcMar>
          </w:tcPr>
          <w:p w14:paraId="1BA729E8"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(4)</w:t>
            </w:r>
          </w:p>
        </w:tc>
      </w:tr>
    </w:tbl>
    <w:p w14:paraId="3D291510" w14:textId="77777777" w:rsidR="0094112E" w:rsidRPr="003D472A" w:rsidRDefault="0094112E">
      <w:pPr>
        <w:spacing w:after="80"/>
        <w:rPr>
          <w:rFonts w:ascii="Times New Roman" w:hAnsi="Times New Roman" w:cs="Times New Roman"/>
          <w:sz w:val="24"/>
          <w:szCs w:val="24"/>
        </w:rPr>
      </w:pPr>
    </w:p>
    <w:p w14:paraId="6C19E359"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where first and second order gradient statistics are given by:</w:t>
      </w:r>
    </w:p>
    <w:tbl>
      <w:tblPr>
        <w:tblW w:w="0" w:type="auto"/>
        <w:jc w:val="center"/>
        <w:tblLook w:val="04A0" w:firstRow="1" w:lastRow="0" w:firstColumn="1" w:lastColumn="0" w:noHBand="0" w:noVBand="1"/>
      </w:tblPr>
      <w:tblGrid>
        <w:gridCol w:w="2569"/>
        <w:gridCol w:w="2151"/>
      </w:tblGrid>
      <w:tr w:rsidR="0094112E" w:rsidRPr="003D472A" w14:paraId="1E971DE8" w14:textId="77777777">
        <w:trPr>
          <w:jc w:val="center"/>
        </w:trPr>
        <w:tc>
          <w:tcPr>
            <w:tcW w:w="4680" w:type="dxa"/>
            <w:shd w:val="clear" w:color="auto" w:fill="FAFBFC"/>
            <w:tcMar>
              <w:top w:w="90" w:type="dxa"/>
              <w:left w:w="200" w:type="dxa"/>
              <w:bottom w:w="90" w:type="dxa"/>
              <w:right w:w="100" w:type="dxa"/>
            </w:tcMar>
          </w:tcPr>
          <w:p w14:paraId="3833B3AF"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 xml:space="preserve">g_i = d/d y_hat [ </w:t>
            </w:r>
            <w:proofErr w:type="gramStart"/>
            <w:r w:rsidRPr="003D472A">
              <w:rPr>
                <w:rFonts w:ascii="Times New Roman" w:hAnsi="Times New Roman" w:cs="Times New Roman"/>
                <w:i/>
                <w:color w:val="111827"/>
                <w:sz w:val="24"/>
                <w:szCs w:val="24"/>
              </w:rPr>
              <w:t>l(</w:t>
            </w:r>
            <w:proofErr w:type="gramEnd"/>
            <w:r w:rsidRPr="003D472A">
              <w:rPr>
                <w:rFonts w:ascii="Times New Roman" w:hAnsi="Times New Roman" w:cs="Times New Roman"/>
                <w:i/>
                <w:color w:val="111827"/>
                <w:sz w:val="24"/>
                <w:szCs w:val="24"/>
              </w:rPr>
              <w:t>y_i, y_hat^{(t-1)}</w:t>
            </w:r>
            <w:proofErr w:type="gramStart"/>
            <w:r w:rsidRPr="003D472A">
              <w:rPr>
                <w:rFonts w:ascii="Times New Roman" w:hAnsi="Times New Roman" w:cs="Times New Roman"/>
                <w:i/>
                <w:color w:val="111827"/>
                <w:sz w:val="24"/>
                <w:szCs w:val="24"/>
              </w:rPr>
              <w:t>) ]</w:t>
            </w:r>
            <w:proofErr w:type="gramEnd"/>
            <w:r w:rsidRPr="003D472A">
              <w:rPr>
                <w:rFonts w:ascii="Times New Roman" w:hAnsi="Times New Roman" w:cs="Times New Roman"/>
                <w:i/>
                <w:color w:val="111827"/>
                <w:sz w:val="24"/>
                <w:szCs w:val="24"/>
              </w:rPr>
              <w:t xml:space="preserve">,   h_i = d^2 / d y_hat^2 [ </w:t>
            </w:r>
            <w:proofErr w:type="gramStart"/>
            <w:r w:rsidRPr="003D472A">
              <w:rPr>
                <w:rFonts w:ascii="Times New Roman" w:hAnsi="Times New Roman" w:cs="Times New Roman"/>
                <w:i/>
                <w:color w:val="111827"/>
                <w:sz w:val="24"/>
                <w:szCs w:val="24"/>
              </w:rPr>
              <w:t>l(</w:t>
            </w:r>
            <w:proofErr w:type="gramEnd"/>
            <w:r w:rsidRPr="003D472A">
              <w:rPr>
                <w:rFonts w:ascii="Times New Roman" w:hAnsi="Times New Roman" w:cs="Times New Roman"/>
                <w:i/>
                <w:color w:val="111827"/>
                <w:sz w:val="24"/>
                <w:szCs w:val="24"/>
              </w:rPr>
              <w:t>y_i, y_hat^{(t-1)}</w:t>
            </w:r>
            <w:proofErr w:type="gramStart"/>
            <w:r w:rsidRPr="003D472A">
              <w:rPr>
                <w:rFonts w:ascii="Times New Roman" w:hAnsi="Times New Roman" w:cs="Times New Roman"/>
                <w:i/>
                <w:color w:val="111827"/>
                <w:sz w:val="24"/>
                <w:szCs w:val="24"/>
              </w:rPr>
              <w:t>) ]</w:t>
            </w:r>
            <w:proofErr w:type="gramEnd"/>
          </w:p>
        </w:tc>
        <w:tc>
          <w:tcPr>
            <w:tcW w:w="4680" w:type="dxa"/>
            <w:shd w:val="clear" w:color="auto" w:fill="FAFBFC"/>
            <w:tcMar>
              <w:top w:w="90" w:type="dxa"/>
              <w:left w:w="100" w:type="dxa"/>
              <w:bottom w:w="90" w:type="dxa"/>
              <w:right w:w="200" w:type="dxa"/>
            </w:tcMar>
          </w:tcPr>
          <w:p w14:paraId="32811F36"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(5)</w:t>
            </w:r>
          </w:p>
        </w:tc>
      </w:tr>
    </w:tbl>
    <w:p w14:paraId="2663051B" w14:textId="77777777" w:rsidR="0094112E" w:rsidRPr="003D472A" w:rsidRDefault="0094112E">
      <w:pPr>
        <w:spacing w:after="80"/>
        <w:rPr>
          <w:rFonts w:ascii="Times New Roman" w:hAnsi="Times New Roman" w:cs="Times New Roman"/>
          <w:sz w:val="24"/>
          <w:szCs w:val="24"/>
        </w:rPr>
      </w:pPr>
    </w:p>
    <w:p w14:paraId="3FC79CA6"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The optimal leaf weight w_j^* for leaf j and the corresponding split gain metric are analytically derived as:</w:t>
      </w:r>
    </w:p>
    <w:tbl>
      <w:tblPr>
        <w:tblW w:w="0" w:type="auto"/>
        <w:jc w:val="center"/>
        <w:tblLook w:val="04A0" w:firstRow="1" w:lastRow="0" w:firstColumn="1" w:lastColumn="0" w:noHBand="0" w:noVBand="1"/>
      </w:tblPr>
      <w:tblGrid>
        <w:gridCol w:w="2492"/>
        <w:gridCol w:w="2228"/>
      </w:tblGrid>
      <w:tr w:rsidR="0094112E" w:rsidRPr="003D472A" w14:paraId="7626C67B" w14:textId="77777777">
        <w:trPr>
          <w:jc w:val="center"/>
        </w:trPr>
        <w:tc>
          <w:tcPr>
            <w:tcW w:w="4680" w:type="dxa"/>
            <w:shd w:val="clear" w:color="auto" w:fill="FAFBFC"/>
            <w:tcMar>
              <w:top w:w="90" w:type="dxa"/>
              <w:left w:w="200" w:type="dxa"/>
              <w:bottom w:w="90" w:type="dxa"/>
              <w:right w:w="100" w:type="dxa"/>
            </w:tcMar>
          </w:tcPr>
          <w:p w14:paraId="67D15CDA"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 xml:space="preserve">w_j^* = - </w:t>
            </w:r>
            <w:proofErr w:type="gramStart"/>
            <w:r w:rsidRPr="003D472A">
              <w:rPr>
                <w:rFonts w:ascii="Times New Roman" w:hAnsi="Times New Roman" w:cs="Times New Roman"/>
                <w:i/>
                <w:color w:val="111827"/>
                <w:sz w:val="24"/>
                <w:szCs w:val="24"/>
              </w:rPr>
              <w:t>( sum_{</w:t>
            </w:r>
            <w:proofErr w:type="gramEnd"/>
            <w:r w:rsidRPr="003D472A">
              <w:rPr>
                <w:rFonts w:ascii="Times New Roman" w:hAnsi="Times New Roman" w:cs="Times New Roman"/>
                <w:i/>
                <w:color w:val="111827"/>
                <w:sz w:val="24"/>
                <w:szCs w:val="24"/>
              </w:rPr>
              <w:t>i in I_j} g_</w:t>
            </w:r>
            <w:proofErr w:type="gramStart"/>
            <w:r w:rsidRPr="003D472A">
              <w:rPr>
                <w:rFonts w:ascii="Times New Roman" w:hAnsi="Times New Roman" w:cs="Times New Roman"/>
                <w:i/>
                <w:color w:val="111827"/>
                <w:sz w:val="24"/>
                <w:szCs w:val="24"/>
              </w:rPr>
              <w:t>i )</w:t>
            </w:r>
            <w:proofErr w:type="gramEnd"/>
            <w:r w:rsidRPr="003D472A">
              <w:rPr>
                <w:rFonts w:ascii="Times New Roman" w:hAnsi="Times New Roman" w:cs="Times New Roman"/>
                <w:i/>
                <w:color w:val="111827"/>
                <w:sz w:val="24"/>
                <w:szCs w:val="24"/>
              </w:rPr>
              <w:t xml:space="preserve"> / </w:t>
            </w:r>
            <w:proofErr w:type="gramStart"/>
            <w:r w:rsidRPr="003D472A">
              <w:rPr>
                <w:rFonts w:ascii="Times New Roman" w:hAnsi="Times New Roman" w:cs="Times New Roman"/>
                <w:i/>
                <w:color w:val="111827"/>
                <w:sz w:val="24"/>
                <w:szCs w:val="24"/>
              </w:rPr>
              <w:t>( sum_{</w:t>
            </w:r>
            <w:proofErr w:type="gramEnd"/>
            <w:r w:rsidRPr="003D472A">
              <w:rPr>
                <w:rFonts w:ascii="Times New Roman" w:hAnsi="Times New Roman" w:cs="Times New Roman"/>
                <w:i/>
                <w:color w:val="111827"/>
                <w:sz w:val="24"/>
                <w:szCs w:val="24"/>
              </w:rPr>
              <w:t xml:space="preserve">i in I_j} h_i + </w:t>
            </w:r>
            <w:proofErr w:type="gramStart"/>
            <w:r w:rsidRPr="003D472A">
              <w:rPr>
                <w:rFonts w:ascii="Times New Roman" w:hAnsi="Times New Roman" w:cs="Times New Roman"/>
                <w:i/>
                <w:color w:val="111827"/>
                <w:sz w:val="24"/>
                <w:szCs w:val="24"/>
              </w:rPr>
              <w:t>lambda )</w:t>
            </w:r>
            <w:proofErr w:type="gramEnd"/>
          </w:p>
        </w:tc>
        <w:tc>
          <w:tcPr>
            <w:tcW w:w="4680" w:type="dxa"/>
            <w:shd w:val="clear" w:color="auto" w:fill="FAFBFC"/>
            <w:tcMar>
              <w:top w:w="90" w:type="dxa"/>
              <w:left w:w="100" w:type="dxa"/>
              <w:bottom w:w="90" w:type="dxa"/>
              <w:right w:w="200" w:type="dxa"/>
            </w:tcMar>
          </w:tcPr>
          <w:p w14:paraId="65E3FB26"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(6)</w:t>
            </w:r>
          </w:p>
        </w:tc>
      </w:tr>
    </w:tbl>
    <w:p w14:paraId="4899492E" w14:textId="77777777" w:rsidR="0094112E" w:rsidRPr="003D472A" w:rsidRDefault="0094112E">
      <w:pPr>
        <w:spacing w:after="80"/>
        <w:rPr>
          <w:rFonts w:ascii="Times New Roman" w:hAnsi="Times New Roman" w:cs="Times New Roman"/>
          <w:sz w:val="24"/>
          <w:szCs w:val="24"/>
        </w:rPr>
      </w:pPr>
    </w:p>
    <w:tbl>
      <w:tblPr>
        <w:tblW w:w="0" w:type="auto"/>
        <w:jc w:val="center"/>
        <w:tblLook w:val="04A0" w:firstRow="1" w:lastRow="0" w:firstColumn="1" w:lastColumn="0" w:noHBand="0" w:noVBand="1"/>
      </w:tblPr>
      <w:tblGrid>
        <w:gridCol w:w="2517"/>
        <w:gridCol w:w="2203"/>
      </w:tblGrid>
      <w:tr w:rsidR="0094112E" w:rsidRPr="003D472A" w14:paraId="616FFEB4" w14:textId="77777777">
        <w:trPr>
          <w:jc w:val="center"/>
        </w:trPr>
        <w:tc>
          <w:tcPr>
            <w:tcW w:w="4680" w:type="dxa"/>
            <w:shd w:val="clear" w:color="auto" w:fill="FAFBFC"/>
            <w:tcMar>
              <w:top w:w="90" w:type="dxa"/>
              <w:left w:w="200" w:type="dxa"/>
              <w:bottom w:w="90" w:type="dxa"/>
              <w:right w:w="100" w:type="dxa"/>
            </w:tcMar>
          </w:tcPr>
          <w:p w14:paraId="3B994426"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Gain = 0.5 * [ (sum</w:t>
            </w:r>
            <w:proofErr w:type="gramStart"/>
            <w:r w:rsidRPr="003D472A">
              <w:rPr>
                <w:rFonts w:ascii="Times New Roman" w:hAnsi="Times New Roman" w:cs="Times New Roman"/>
                <w:i/>
                <w:color w:val="111827"/>
                <w:sz w:val="24"/>
                <w:szCs w:val="24"/>
              </w:rPr>
              <w:t>_{</w:t>
            </w:r>
            <w:proofErr w:type="gramEnd"/>
            <w:r w:rsidRPr="003D472A">
              <w:rPr>
                <w:rFonts w:ascii="Times New Roman" w:hAnsi="Times New Roman" w:cs="Times New Roman"/>
                <w:i/>
                <w:color w:val="111827"/>
                <w:sz w:val="24"/>
                <w:szCs w:val="24"/>
              </w:rPr>
              <w:t>i in I_L} g_</w:t>
            </w:r>
            <w:proofErr w:type="gramStart"/>
            <w:r w:rsidRPr="003D472A">
              <w:rPr>
                <w:rFonts w:ascii="Times New Roman" w:hAnsi="Times New Roman" w:cs="Times New Roman"/>
                <w:i/>
                <w:color w:val="111827"/>
                <w:sz w:val="24"/>
                <w:szCs w:val="24"/>
              </w:rPr>
              <w:t>i)^</w:t>
            </w:r>
            <w:proofErr w:type="gramEnd"/>
            <w:r w:rsidRPr="003D472A">
              <w:rPr>
                <w:rFonts w:ascii="Times New Roman" w:hAnsi="Times New Roman" w:cs="Times New Roman"/>
                <w:i/>
                <w:color w:val="111827"/>
                <w:sz w:val="24"/>
                <w:szCs w:val="24"/>
              </w:rPr>
              <w:t>2 / (sum h_i + lambda) + (sum</w:t>
            </w:r>
            <w:proofErr w:type="gramStart"/>
            <w:r w:rsidRPr="003D472A">
              <w:rPr>
                <w:rFonts w:ascii="Times New Roman" w:hAnsi="Times New Roman" w:cs="Times New Roman"/>
                <w:i/>
                <w:color w:val="111827"/>
                <w:sz w:val="24"/>
                <w:szCs w:val="24"/>
              </w:rPr>
              <w:t>_{</w:t>
            </w:r>
            <w:proofErr w:type="gramEnd"/>
            <w:r w:rsidRPr="003D472A">
              <w:rPr>
                <w:rFonts w:ascii="Times New Roman" w:hAnsi="Times New Roman" w:cs="Times New Roman"/>
                <w:i/>
                <w:color w:val="111827"/>
                <w:sz w:val="24"/>
                <w:szCs w:val="24"/>
              </w:rPr>
              <w:t>i in I_R} g_</w:t>
            </w:r>
            <w:proofErr w:type="gramStart"/>
            <w:r w:rsidRPr="003D472A">
              <w:rPr>
                <w:rFonts w:ascii="Times New Roman" w:hAnsi="Times New Roman" w:cs="Times New Roman"/>
                <w:i/>
                <w:color w:val="111827"/>
                <w:sz w:val="24"/>
                <w:szCs w:val="24"/>
              </w:rPr>
              <w:t>i)^</w:t>
            </w:r>
            <w:proofErr w:type="gramEnd"/>
            <w:r w:rsidRPr="003D472A">
              <w:rPr>
                <w:rFonts w:ascii="Times New Roman" w:hAnsi="Times New Roman" w:cs="Times New Roman"/>
                <w:i/>
                <w:color w:val="111827"/>
                <w:sz w:val="24"/>
                <w:szCs w:val="24"/>
              </w:rPr>
              <w:t>2 / (sum h_i + lambda) - (sum</w:t>
            </w:r>
            <w:proofErr w:type="gramStart"/>
            <w:r w:rsidRPr="003D472A">
              <w:rPr>
                <w:rFonts w:ascii="Times New Roman" w:hAnsi="Times New Roman" w:cs="Times New Roman"/>
                <w:i/>
                <w:color w:val="111827"/>
                <w:sz w:val="24"/>
                <w:szCs w:val="24"/>
              </w:rPr>
              <w:t>_{</w:t>
            </w:r>
            <w:proofErr w:type="gramEnd"/>
            <w:r w:rsidRPr="003D472A">
              <w:rPr>
                <w:rFonts w:ascii="Times New Roman" w:hAnsi="Times New Roman" w:cs="Times New Roman"/>
                <w:i/>
                <w:color w:val="111827"/>
                <w:sz w:val="24"/>
                <w:szCs w:val="24"/>
              </w:rPr>
              <w:t>i in I} g_</w:t>
            </w:r>
            <w:proofErr w:type="gramStart"/>
            <w:r w:rsidRPr="003D472A">
              <w:rPr>
                <w:rFonts w:ascii="Times New Roman" w:hAnsi="Times New Roman" w:cs="Times New Roman"/>
                <w:i/>
                <w:color w:val="111827"/>
                <w:sz w:val="24"/>
                <w:szCs w:val="24"/>
              </w:rPr>
              <w:t>i)^</w:t>
            </w:r>
            <w:proofErr w:type="gramEnd"/>
            <w:r w:rsidRPr="003D472A">
              <w:rPr>
                <w:rFonts w:ascii="Times New Roman" w:hAnsi="Times New Roman" w:cs="Times New Roman"/>
                <w:i/>
                <w:color w:val="111827"/>
                <w:sz w:val="24"/>
                <w:szCs w:val="24"/>
              </w:rPr>
              <w:t>2 / (sum h_i + lambda</w:t>
            </w:r>
            <w:proofErr w:type="gramStart"/>
            <w:r w:rsidRPr="003D472A">
              <w:rPr>
                <w:rFonts w:ascii="Times New Roman" w:hAnsi="Times New Roman" w:cs="Times New Roman"/>
                <w:i/>
                <w:color w:val="111827"/>
                <w:sz w:val="24"/>
                <w:szCs w:val="24"/>
              </w:rPr>
              <w:t>) ]</w:t>
            </w:r>
            <w:proofErr w:type="gramEnd"/>
            <w:r w:rsidRPr="003D472A">
              <w:rPr>
                <w:rFonts w:ascii="Times New Roman" w:hAnsi="Times New Roman" w:cs="Times New Roman"/>
                <w:i/>
                <w:color w:val="111827"/>
                <w:sz w:val="24"/>
                <w:szCs w:val="24"/>
              </w:rPr>
              <w:t xml:space="preserve"> - gamma</w:t>
            </w:r>
          </w:p>
        </w:tc>
        <w:tc>
          <w:tcPr>
            <w:tcW w:w="4680" w:type="dxa"/>
            <w:shd w:val="clear" w:color="auto" w:fill="FAFBFC"/>
            <w:tcMar>
              <w:top w:w="90" w:type="dxa"/>
              <w:left w:w="100" w:type="dxa"/>
              <w:bottom w:w="90" w:type="dxa"/>
              <w:right w:w="200" w:type="dxa"/>
            </w:tcMar>
          </w:tcPr>
          <w:p w14:paraId="01D848DD"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(7)</w:t>
            </w:r>
          </w:p>
        </w:tc>
      </w:tr>
    </w:tbl>
    <w:p w14:paraId="208B36FB" w14:textId="77777777" w:rsidR="0094112E" w:rsidRPr="003D472A" w:rsidRDefault="0094112E">
      <w:pPr>
        <w:spacing w:after="80"/>
        <w:rPr>
          <w:rFonts w:ascii="Times New Roman" w:hAnsi="Times New Roman" w:cs="Times New Roman"/>
          <w:sz w:val="24"/>
          <w:szCs w:val="24"/>
        </w:rPr>
      </w:pPr>
    </w:p>
    <w:p w14:paraId="17C901C5"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To accommodate dataset class imbalance (</w:t>
      </w:r>
      <w:proofErr w:type="gramStart"/>
      <w:r w:rsidRPr="003D472A">
        <w:rPr>
          <w:rFonts w:ascii="Times New Roman" w:hAnsi="Times New Roman" w:cs="Times New Roman"/>
          <w:color w:val="212529"/>
          <w:sz w:val="24"/>
          <w:szCs w:val="24"/>
        </w:rPr>
        <w:t>2.78 :</w:t>
      </w:r>
      <w:proofErr w:type="gramEnd"/>
      <w:r w:rsidRPr="003D472A">
        <w:rPr>
          <w:rFonts w:ascii="Times New Roman" w:hAnsi="Times New Roman" w:cs="Times New Roman"/>
          <w:color w:val="212529"/>
          <w:sz w:val="24"/>
          <w:szCs w:val="24"/>
        </w:rPr>
        <w:t xml:space="preserve"> 1), balanced cross-entropy is enforced:</w:t>
      </w:r>
    </w:p>
    <w:tbl>
      <w:tblPr>
        <w:tblW w:w="0" w:type="auto"/>
        <w:jc w:val="center"/>
        <w:tblLook w:val="04A0" w:firstRow="1" w:lastRow="0" w:firstColumn="1" w:lastColumn="0" w:noHBand="0" w:noVBand="1"/>
      </w:tblPr>
      <w:tblGrid>
        <w:gridCol w:w="2549"/>
        <w:gridCol w:w="2171"/>
      </w:tblGrid>
      <w:tr w:rsidR="0094112E" w:rsidRPr="003D472A" w14:paraId="31DCD09C" w14:textId="77777777">
        <w:trPr>
          <w:jc w:val="center"/>
        </w:trPr>
        <w:tc>
          <w:tcPr>
            <w:tcW w:w="4680" w:type="dxa"/>
            <w:shd w:val="clear" w:color="auto" w:fill="FAFBFC"/>
            <w:tcMar>
              <w:top w:w="90" w:type="dxa"/>
              <w:left w:w="200" w:type="dxa"/>
              <w:bottom w:w="90" w:type="dxa"/>
              <w:right w:w="100" w:type="dxa"/>
            </w:tcMar>
          </w:tcPr>
          <w:p w14:paraId="15559A17" w14:textId="77777777" w:rsidR="0094112E" w:rsidRPr="003D472A" w:rsidRDefault="00000000">
            <w:pPr>
              <w:rPr>
                <w:rFonts w:ascii="Times New Roman" w:hAnsi="Times New Roman" w:cs="Times New Roman"/>
                <w:sz w:val="24"/>
                <w:szCs w:val="24"/>
              </w:rPr>
            </w:pPr>
            <w:proofErr w:type="gramStart"/>
            <w:r w:rsidRPr="003D472A">
              <w:rPr>
                <w:rFonts w:ascii="Times New Roman" w:hAnsi="Times New Roman" w:cs="Times New Roman"/>
                <w:i/>
                <w:color w:val="111827"/>
                <w:sz w:val="24"/>
                <w:szCs w:val="24"/>
              </w:rPr>
              <w:t>l(</w:t>
            </w:r>
            <w:proofErr w:type="gramEnd"/>
            <w:r w:rsidRPr="003D472A">
              <w:rPr>
                <w:rFonts w:ascii="Times New Roman" w:hAnsi="Times New Roman" w:cs="Times New Roman"/>
                <w:i/>
                <w:color w:val="111827"/>
                <w:sz w:val="24"/>
                <w:szCs w:val="24"/>
              </w:rPr>
              <w:t xml:space="preserve">y_i, p_i) = - [ (N_{neg} / N_{pos}) * y_i * ln(p_i) + (1 - y_i) * </w:t>
            </w:r>
            <w:proofErr w:type="gramStart"/>
            <w:r w:rsidRPr="003D472A">
              <w:rPr>
                <w:rFonts w:ascii="Times New Roman" w:hAnsi="Times New Roman" w:cs="Times New Roman"/>
                <w:i/>
                <w:color w:val="111827"/>
                <w:sz w:val="24"/>
                <w:szCs w:val="24"/>
              </w:rPr>
              <w:t>ln(</w:t>
            </w:r>
            <w:proofErr w:type="gramEnd"/>
            <w:r w:rsidRPr="003D472A">
              <w:rPr>
                <w:rFonts w:ascii="Times New Roman" w:hAnsi="Times New Roman" w:cs="Times New Roman"/>
                <w:i/>
                <w:color w:val="111827"/>
                <w:sz w:val="24"/>
                <w:szCs w:val="24"/>
              </w:rPr>
              <w:t>1 - p_i</w:t>
            </w:r>
            <w:proofErr w:type="gramStart"/>
            <w:r w:rsidRPr="003D472A">
              <w:rPr>
                <w:rFonts w:ascii="Times New Roman" w:hAnsi="Times New Roman" w:cs="Times New Roman"/>
                <w:i/>
                <w:color w:val="111827"/>
                <w:sz w:val="24"/>
                <w:szCs w:val="24"/>
              </w:rPr>
              <w:t>) ]</w:t>
            </w:r>
            <w:proofErr w:type="gramEnd"/>
          </w:p>
        </w:tc>
        <w:tc>
          <w:tcPr>
            <w:tcW w:w="4680" w:type="dxa"/>
            <w:shd w:val="clear" w:color="auto" w:fill="FAFBFC"/>
            <w:tcMar>
              <w:top w:w="90" w:type="dxa"/>
              <w:left w:w="100" w:type="dxa"/>
              <w:bottom w:w="90" w:type="dxa"/>
              <w:right w:w="200" w:type="dxa"/>
            </w:tcMar>
          </w:tcPr>
          <w:p w14:paraId="10052EB0"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(8)</w:t>
            </w:r>
          </w:p>
        </w:tc>
      </w:tr>
    </w:tbl>
    <w:p w14:paraId="7F3BACC3" w14:textId="77777777" w:rsidR="0094112E" w:rsidRPr="003D472A" w:rsidRDefault="0094112E">
      <w:pPr>
        <w:spacing w:after="80"/>
        <w:rPr>
          <w:rFonts w:ascii="Times New Roman" w:hAnsi="Times New Roman" w:cs="Times New Roman"/>
          <w:sz w:val="24"/>
          <w:szCs w:val="24"/>
        </w:rPr>
      </w:pPr>
    </w:p>
    <w:p w14:paraId="2F5FA89B" w14:textId="77777777" w:rsidR="0094112E" w:rsidRPr="003D472A" w:rsidRDefault="00000000">
      <w:pPr>
        <w:keepNext/>
        <w:spacing w:before="160" w:after="40"/>
        <w:rPr>
          <w:rFonts w:ascii="Times New Roman" w:hAnsi="Times New Roman" w:cs="Times New Roman"/>
          <w:sz w:val="24"/>
          <w:szCs w:val="24"/>
        </w:rPr>
      </w:pPr>
      <w:r w:rsidRPr="003D472A">
        <w:rPr>
          <w:rFonts w:ascii="Times New Roman" w:hAnsi="Times New Roman" w:cs="Times New Roman"/>
          <w:b/>
          <w:color w:val="212529"/>
          <w:sz w:val="24"/>
          <w:szCs w:val="24"/>
        </w:rPr>
        <w:t>Table 1: XGBoost V4 Immutable Feature Contract and Provenance</w:t>
      </w:r>
    </w:p>
    <w:tbl>
      <w:tblPr>
        <w:tblW w:w="0" w:type="auto"/>
        <w:jc w:val="center"/>
        <w:tblBorders>
          <w:top w:val="single" w:sz="6" w:space="0" w:color="D1D5DB"/>
          <w:bottom w:val="single" w:sz="6" w:space="0" w:color="D1D5DB"/>
          <w:insideH w:val="single" w:sz="4" w:space="0" w:color="D1D5DB"/>
        </w:tblBorders>
        <w:tblLook w:val="04A0" w:firstRow="1" w:lastRow="0" w:firstColumn="1" w:lastColumn="0" w:noHBand="0" w:noVBand="1"/>
      </w:tblPr>
      <w:tblGrid>
        <w:gridCol w:w="1883"/>
        <w:gridCol w:w="826"/>
        <w:gridCol w:w="509"/>
        <w:gridCol w:w="497"/>
        <w:gridCol w:w="885"/>
      </w:tblGrid>
      <w:tr w:rsidR="0094112E" w:rsidRPr="003D472A" w14:paraId="4933B97A" w14:textId="77777777">
        <w:trPr>
          <w:jc w:val="center"/>
        </w:trPr>
        <w:tc>
          <w:tcPr>
            <w:tcW w:w="1872" w:type="dxa"/>
            <w:shd w:val="clear" w:color="auto" w:fill="1F4E79"/>
            <w:tcMar>
              <w:top w:w="140" w:type="dxa"/>
              <w:left w:w="140" w:type="dxa"/>
              <w:bottom w:w="140" w:type="dxa"/>
              <w:right w:w="140" w:type="dxa"/>
            </w:tcMar>
          </w:tcPr>
          <w:p w14:paraId="03D40E37"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b/>
                <w:color w:val="FFFFFF"/>
                <w:sz w:val="24"/>
                <w:szCs w:val="24"/>
              </w:rPr>
              <w:t>Feature Name</w:t>
            </w:r>
          </w:p>
        </w:tc>
        <w:tc>
          <w:tcPr>
            <w:tcW w:w="1872" w:type="dxa"/>
            <w:shd w:val="clear" w:color="auto" w:fill="1F4E79"/>
            <w:tcMar>
              <w:top w:w="140" w:type="dxa"/>
              <w:left w:w="140" w:type="dxa"/>
              <w:bottom w:w="140" w:type="dxa"/>
              <w:right w:w="140" w:type="dxa"/>
            </w:tcMar>
          </w:tcPr>
          <w:p w14:paraId="79320787"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b/>
                <w:color w:val="FFFFFF"/>
                <w:sz w:val="24"/>
                <w:szCs w:val="24"/>
              </w:rPr>
              <w:t>Category</w:t>
            </w:r>
          </w:p>
        </w:tc>
        <w:tc>
          <w:tcPr>
            <w:tcW w:w="1872" w:type="dxa"/>
            <w:shd w:val="clear" w:color="auto" w:fill="1F4E79"/>
            <w:tcMar>
              <w:top w:w="140" w:type="dxa"/>
              <w:left w:w="140" w:type="dxa"/>
              <w:bottom w:w="140" w:type="dxa"/>
              <w:right w:w="140" w:type="dxa"/>
            </w:tcMar>
          </w:tcPr>
          <w:p w14:paraId="0F57C50D"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b/>
                <w:color w:val="FFFFFF"/>
                <w:sz w:val="24"/>
                <w:szCs w:val="24"/>
              </w:rPr>
              <w:t>Data Typ</w:t>
            </w:r>
            <w:r w:rsidRPr="003D472A">
              <w:rPr>
                <w:rFonts w:ascii="Times New Roman" w:hAnsi="Times New Roman" w:cs="Times New Roman"/>
                <w:b/>
                <w:color w:val="FFFFFF"/>
                <w:sz w:val="24"/>
                <w:szCs w:val="24"/>
              </w:rPr>
              <w:lastRenderedPageBreak/>
              <w:t>e</w:t>
            </w:r>
          </w:p>
        </w:tc>
        <w:tc>
          <w:tcPr>
            <w:tcW w:w="1872" w:type="dxa"/>
            <w:shd w:val="clear" w:color="auto" w:fill="1F4E79"/>
            <w:tcMar>
              <w:top w:w="140" w:type="dxa"/>
              <w:left w:w="140" w:type="dxa"/>
              <w:bottom w:w="140" w:type="dxa"/>
              <w:right w:w="140" w:type="dxa"/>
            </w:tcMar>
          </w:tcPr>
          <w:p w14:paraId="352F32B4"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b/>
                <w:color w:val="FFFFFF"/>
                <w:sz w:val="24"/>
                <w:szCs w:val="24"/>
              </w:rPr>
              <w:lastRenderedPageBreak/>
              <w:t>Unit</w:t>
            </w:r>
          </w:p>
        </w:tc>
        <w:tc>
          <w:tcPr>
            <w:tcW w:w="1872" w:type="dxa"/>
            <w:shd w:val="clear" w:color="auto" w:fill="1F4E79"/>
            <w:tcMar>
              <w:top w:w="140" w:type="dxa"/>
              <w:left w:w="140" w:type="dxa"/>
              <w:bottom w:w="140" w:type="dxa"/>
              <w:right w:w="140" w:type="dxa"/>
            </w:tcMar>
          </w:tcPr>
          <w:p w14:paraId="6EB8F8F5"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b/>
                <w:color w:val="FFFFFF"/>
                <w:sz w:val="24"/>
                <w:szCs w:val="24"/>
              </w:rPr>
              <w:t>Primary Data Source</w:t>
            </w:r>
          </w:p>
        </w:tc>
      </w:tr>
      <w:tr w:rsidR="0094112E" w:rsidRPr="003D472A" w14:paraId="27AAEA89" w14:textId="77777777">
        <w:trPr>
          <w:jc w:val="center"/>
        </w:trPr>
        <w:tc>
          <w:tcPr>
            <w:tcW w:w="1872" w:type="dxa"/>
            <w:shd w:val="clear" w:color="auto" w:fill="FFFFFF"/>
            <w:tcMar>
              <w:top w:w="100" w:type="dxa"/>
              <w:left w:w="140" w:type="dxa"/>
              <w:bottom w:w="100" w:type="dxa"/>
              <w:right w:w="140" w:type="dxa"/>
            </w:tcMar>
          </w:tcPr>
          <w:p w14:paraId="605F5B81"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rainfall_24h_mm</w:t>
            </w:r>
          </w:p>
        </w:tc>
        <w:tc>
          <w:tcPr>
            <w:tcW w:w="1872" w:type="dxa"/>
            <w:shd w:val="clear" w:color="auto" w:fill="FFFFFF"/>
            <w:tcMar>
              <w:top w:w="100" w:type="dxa"/>
              <w:left w:w="140" w:type="dxa"/>
              <w:bottom w:w="100" w:type="dxa"/>
              <w:right w:w="140" w:type="dxa"/>
            </w:tcMar>
          </w:tcPr>
          <w:p w14:paraId="45464A11"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Dynamic Meteorology</w:t>
            </w:r>
          </w:p>
        </w:tc>
        <w:tc>
          <w:tcPr>
            <w:tcW w:w="1872" w:type="dxa"/>
            <w:shd w:val="clear" w:color="auto" w:fill="FFFFFF"/>
            <w:tcMar>
              <w:top w:w="100" w:type="dxa"/>
              <w:left w:w="140" w:type="dxa"/>
              <w:bottom w:w="100" w:type="dxa"/>
              <w:right w:w="140" w:type="dxa"/>
            </w:tcMar>
          </w:tcPr>
          <w:p w14:paraId="34943EBA"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FFFFF"/>
            <w:tcMar>
              <w:top w:w="100" w:type="dxa"/>
              <w:left w:w="140" w:type="dxa"/>
              <w:bottom w:w="100" w:type="dxa"/>
              <w:right w:w="140" w:type="dxa"/>
            </w:tcMar>
          </w:tcPr>
          <w:p w14:paraId="3637232A"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mm</w:t>
            </w:r>
          </w:p>
        </w:tc>
        <w:tc>
          <w:tcPr>
            <w:tcW w:w="1872" w:type="dxa"/>
            <w:shd w:val="clear" w:color="auto" w:fill="FFFFFF"/>
            <w:tcMar>
              <w:top w:w="100" w:type="dxa"/>
              <w:left w:w="140" w:type="dxa"/>
              <w:bottom w:w="100" w:type="dxa"/>
              <w:right w:w="140" w:type="dxa"/>
            </w:tcMar>
          </w:tcPr>
          <w:p w14:paraId="7C4CC192"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Open-Meteo ERA5 / IMD Reanalysis</w:t>
            </w:r>
          </w:p>
        </w:tc>
      </w:tr>
      <w:tr w:rsidR="0094112E" w:rsidRPr="003D472A" w14:paraId="05FCD3AF" w14:textId="77777777">
        <w:trPr>
          <w:jc w:val="center"/>
        </w:trPr>
        <w:tc>
          <w:tcPr>
            <w:tcW w:w="1872" w:type="dxa"/>
            <w:shd w:val="clear" w:color="auto" w:fill="F8F9FA"/>
            <w:tcMar>
              <w:top w:w="100" w:type="dxa"/>
              <w:left w:w="140" w:type="dxa"/>
              <w:bottom w:w="100" w:type="dxa"/>
              <w:right w:w="140" w:type="dxa"/>
            </w:tcMar>
          </w:tcPr>
          <w:p w14:paraId="62F46435"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rainfall_72h_mm</w:t>
            </w:r>
          </w:p>
        </w:tc>
        <w:tc>
          <w:tcPr>
            <w:tcW w:w="1872" w:type="dxa"/>
            <w:shd w:val="clear" w:color="auto" w:fill="F8F9FA"/>
            <w:tcMar>
              <w:top w:w="100" w:type="dxa"/>
              <w:left w:w="140" w:type="dxa"/>
              <w:bottom w:w="100" w:type="dxa"/>
              <w:right w:w="140" w:type="dxa"/>
            </w:tcMar>
          </w:tcPr>
          <w:p w14:paraId="54B5284F"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Dynamic Meteorology</w:t>
            </w:r>
          </w:p>
        </w:tc>
        <w:tc>
          <w:tcPr>
            <w:tcW w:w="1872" w:type="dxa"/>
            <w:shd w:val="clear" w:color="auto" w:fill="F8F9FA"/>
            <w:tcMar>
              <w:top w:w="100" w:type="dxa"/>
              <w:left w:w="140" w:type="dxa"/>
              <w:bottom w:w="100" w:type="dxa"/>
              <w:right w:w="140" w:type="dxa"/>
            </w:tcMar>
          </w:tcPr>
          <w:p w14:paraId="44D83D7C"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8F9FA"/>
            <w:tcMar>
              <w:top w:w="100" w:type="dxa"/>
              <w:left w:w="140" w:type="dxa"/>
              <w:bottom w:w="100" w:type="dxa"/>
              <w:right w:w="140" w:type="dxa"/>
            </w:tcMar>
          </w:tcPr>
          <w:p w14:paraId="36BB8F45"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mm</w:t>
            </w:r>
          </w:p>
        </w:tc>
        <w:tc>
          <w:tcPr>
            <w:tcW w:w="1872" w:type="dxa"/>
            <w:shd w:val="clear" w:color="auto" w:fill="F8F9FA"/>
            <w:tcMar>
              <w:top w:w="100" w:type="dxa"/>
              <w:left w:w="140" w:type="dxa"/>
              <w:bottom w:w="100" w:type="dxa"/>
              <w:right w:w="140" w:type="dxa"/>
            </w:tcMar>
          </w:tcPr>
          <w:p w14:paraId="54742002"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Open-Meteo ERA5 / IMD Reanalysis</w:t>
            </w:r>
          </w:p>
        </w:tc>
      </w:tr>
      <w:tr w:rsidR="0094112E" w:rsidRPr="003D472A" w14:paraId="7B5C9782" w14:textId="77777777">
        <w:trPr>
          <w:jc w:val="center"/>
        </w:trPr>
        <w:tc>
          <w:tcPr>
            <w:tcW w:w="1872" w:type="dxa"/>
            <w:shd w:val="clear" w:color="auto" w:fill="FFFFFF"/>
            <w:tcMar>
              <w:top w:w="100" w:type="dxa"/>
              <w:left w:w="140" w:type="dxa"/>
              <w:bottom w:w="100" w:type="dxa"/>
              <w:right w:w="140" w:type="dxa"/>
            </w:tcMar>
          </w:tcPr>
          <w:p w14:paraId="4F5183B7"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rainfall_7d_mm</w:t>
            </w:r>
          </w:p>
        </w:tc>
        <w:tc>
          <w:tcPr>
            <w:tcW w:w="1872" w:type="dxa"/>
            <w:shd w:val="clear" w:color="auto" w:fill="FFFFFF"/>
            <w:tcMar>
              <w:top w:w="100" w:type="dxa"/>
              <w:left w:w="140" w:type="dxa"/>
              <w:bottom w:w="100" w:type="dxa"/>
              <w:right w:w="140" w:type="dxa"/>
            </w:tcMar>
          </w:tcPr>
          <w:p w14:paraId="0536E497"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Dynamic Meteorology</w:t>
            </w:r>
          </w:p>
        </w:tc>
        <w:tc>
          <w:tcPr>
            <w:tcW w:w="1872" w:type="dxa"/>
            <w:shd w:val="clear" w:color="auto" w:fill="FFFFFF"/>
            <w:tcMar>
              <w:top w:w="100" w:type="dxa"/>
              <w:left w:w="140" w:type="dxa"/>
              <w:bottom w:w="100" w:type="dxa"/>
              <w:right w:w="140" w:type="dxa"/>
            </w:tcMar>
          </w:tcPr>
          <w:p w14:paraId="25EC37EB"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FFFFF"/>
            <w:tcMar>
              <w:top w:w="100" w:type="dxa"/>
              <w:left w:w="140" w:type="dxa"/>
              <w:bottom w:w="100" w:type="dxa"/>
              <w:right w:w="140" w:type="dxa"/>
            </w:tcMar>
          </w:tcPr>
          <w:p w14:paraId="7229FBA6"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mm</w:t>
            </w:r>
          </w:p>
        </w:tc>
        <w:tc>
          <w:tcPr>
            <w:tcW w:w="1872" w:type="dxa"/>
            <w:shd w:val="clear" w:color="auto" w:fill="FFFFFF"/>
            <w:tcMar>
              <w:top w:w="100" w:type="dxa"/>
              <w:left w:w="140" w:type="dxa"/>
              <w:bottom w:w="100" w:type="dxa"/>
              <w:right w:w="140" w:type="dxa"/>
            </w:tcMar>
          </w:tcPr>
          <w:p w14:paraId="4FA801DF"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Open-Meteo ERA5 / IMD Reanalysis</w:t>
            </w:r>
          </w:p>
        </w:tc>
      </w:tr>
      <w:tr w:rsidR="0094112E" w:rsidRPr="003D472A" w14:paraId="70754116" w14:textId="77777777">
        <w:trPr>
          <w:jc w:val="center"/>
        </w:trPr>
        <w:tc>
          <w:tcPr>
            <w:tcW w:w="1872" w:type="dxa"/>
            <w:shd w:val="clear" w:color="auto" w:fill="F8F9FA"/>
            <w:tcMar>
              <w:top w:w="100" w:type="dxa"/>
              <w:left w:w="140" w:type="dxa"/>
              <w:bottom w:w="100" w:type="dxa"/>
              <w:right w:w="140" w:type="dxa"/>
            </w:tcMar>
          </w:tcPr>
          <w:p w14:paraId="2A2D4BB7"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temperature_c</w:t>
            </w:r>
          </w:p>
        </w:tc>
        <w:tc>
          <w:tcPr>
            <w:tcW w:w="1872" w:type="dxa"/>
            <w:shd w:val="clear" w:color="auto" w:fill="F8F9FA"/>
            <w:tcMar>
              <w:top w:w="100" w:type="dxa"/>
              <w:left w:w="140" w:type="dxa"/>
              <w:bottom w:w="100" w:type="dxa"/>
              <w:right w:w="140" w:type="dxa"/>
            </w:tcMar>
          </w:tcPr>
          <w:p w14:paraId="26BE7E21"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Dynamic Meteorology</w:t>
            </w:r>
          </w:p>
        </w:tc>
        <w:tc>
          <w:tcPr>
            <w:tcW w:w="1872" w:type="dxa"/>
            <w:shd w:val="clear" w:color="auto" w:fill="F8F9FA"/>
            <w:tcMar>
              <w:top w:w="100" w:type="dxa"/>
              <w:left w:w="140" w:type="dxa"/>
              <w:bottom w:w="100" w:type="dxa"/>
              <w:right w:w="140" w:type="dxa"/>
            </w:tcMar>
          </w:tcPr>
          <w:p w14:paraId="74F978E0"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8F9FA"/>
            <w:tcMar>
              <w:top w:w="100" w:type="dxa"/>
              <w:left w:w="140" w:type="dxa"/>
              <w:bottom w:w="100" w:type="dxa"/>
              <w:right w:w="140" w:type="dxa"/>
            </w:tcMar>
          </w:tcPr>
          <w:p w14:paraId="219F0EC1"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°C</w:t>
            </w:r>
          </w:p>
        </w:tc>
        <w:tc>
          <w:tcPr>
            <w:tcW w:w="1872" w:type="dxa"/>
            <w:shd w:val="clear" w:color="auto" w:fill="F8F9FA"/>
            <w:tcMar>
              <w:top w:w="100" w:type="dxa"/>
              <w:left w:w="140" w:type="dxa"/>
              <w:bottom w:w="100" w:type="dxa"/>
              <w:right w:w="140" w:type="dxa"/>
            </w:tcMar>
          </w:tcPr>
          <w:p w14:paraId="6E05D2CF"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Open-Meteo ERA5 Surface Temp</w:t>
            </w:r>
          </w:p>
        </w:tc>
      </w:tr>
      <w:tr w:rsidR="0094112E" w:rsidRPr="003D472A" w14:paraId="7E76D30A" w14:textId="77777777">
        <w:trPr>
          <w:jc w:val="center"/>
        </w:trPr>
        <w:tc>
          <w:tcPr>
            <w:tcW w:w="1872" w:type="dxa"/>
            <w:shd w:val="clear" w:color="auto" w:fill="FFFFFF"/>
            <w:tcMar>
              <w:top w:w="100" w:type="dxa"/>
              <w:left w:w="140" w:type="dxa"/>
              <w:bottom w:w="100" w:type="dxa"/>
              <w:right w:w="140" w:type="dxa"/>
            </w:tcMar>
          </w:tcPr>
          <w:p w14:paraId="5D4EECCA"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wind_speed_kmh</w:t>
            </w:r>
          </w:p>
        </w:tc>
        <w:tc>
          <w:tcPr>
            <w:tcW w:w="1872" w:type="dxa"/>
            <w:shd w:val="clear" w:color="auto" w:fill="FFFFFF"/>
            <w:tcMar>
              <w:top w:w="100" w:type="dxa"/>
              <w:left w:w="140" w:type="dxa"/>
              <w:bottom w:w="100" w:type="dxa"/>
              <w:right w:w="140" w:type="dxa"/>
            </w:tcMar>
          </w:tcPr>
          <w:p w14:paraId="37DEEEB4"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Dynamic Meteorolo</w:t>
            </w:r>
            <w:r w:rsidRPr="003D472A">
              <w:rPr>
                <w:rFonts w:ascii="Times New Roman" w:hAnsi="Times New Roman" w:cs="Times New Roman"/>
                <w:sz w:val="24"/>
                <w:szCs w:val="24"/>
              </w:rPr>
              <w:t>gy</w:t>
            </w:r>
          </w:p>
        </w:tc>
        <w:tc>
          <w:tcPr>
            <w:tcW w:w="1872" w:type="dxa"/>
            <w:shd w:val="clear" w:color="auto" w:fill="FFFFFF"/>
            <w:tcMar>
              <w:top w:w="100" w:type="dxa"/>
              <w:left w:w="140" w:type="dxa"/>
              <w:bottom w:w="100" w:type="dxa"/>
              <w:right w:w="140" w:type="dxa"/>
            </w:tcMar>
          </w:tcPr>
          <w:p w14:paraId="7E7849C0"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FFFFF"/>
            <w:tcMar>
              <w:top w:w="100" w:type="dxa"/>
              <w:left w:w="140" w:type="dxa"/>
              <w:bottom w:w="100" w:type="dxa"/>
              <w:right w:w="140" w:type="dxa"/>
            </w:tcMar>
          </w:tcPr>
          <w:p w14:paraId="67B24D33"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km/h</w:t>
            </w:r>
          </w:p>
        </w:tc>
        <w:tc>
          <w:tcPr>
            <w:tcW w:w="1872" w:type="dxa"/>
            <w:shd w:val="clear" w:color="auto" w:fill="FFFFFF"/>
            <w:tcMar>
              <w:top w:w="100" w:type="dxa"/>
              <w:left w:w="140" w:type="dxa"/>
              <w:bottom w:w="100" w:type="dxa"/>
              <w:right w:w="140" w:type="dxa"/>
            </w:tcMar>
          </w:tcPr>
          <w:p w14:paraId="3E488082"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Open-Meteo ERA5 10m Wind</w:t>
            </w:r>
          </w:p>
        </w:tc>
      </w:tr>
      <w:tr w:rsidR="0094112E" w:rsidRPr="003D472A" w14:paraId="5BD13A1A" w14:textId="77777777">
        <w:trPr>
          <w:jc w:val="center"/>
        </w:trPr>
        <w:tc>
          <w:tcPr>
            <w:tcW w:w="1872" w:type="dxa"/>
            <w:shd w:val="clear" w:color="auto" w:fill="F8F9FA"/>
            <w:tcMar>
              <w:top w:w="100" w:type="dxa"/>
              <w:left w:w="140" w:type="dxa"/>
              <w:bottom w:w="100" w:type="dxa"/>
              <w:right w:w="140" w:type="dxa"/>
            </w:tcMar>
          </w:tcPr>
          <w:p w14:paraId="2F8B2257"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upstream_rainfall_72h_mm</w:t>
            </w:r>
          </w:p>
        </w:tc>
        <w:tc>
          <w:tcPr>
            <w:tcW w:w="1872" w:type="dxa"/>
            <w:shd w:val="clear" w:color="auto" w:fill="F8F9FA"/>
            <w:tcMar>
              <w:top w:w="100" w:type="dxa"/>
              <w:left w:w="140" w:type="dxa"/>
              <w:bottom w:w="100" w:type="dxa"/>
              <w:right w:w="140" w:type="dxa"/>
            </w:tcMar>
          </w:tcPr>
          <w:p w14:paraId="07B13941"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Upstream Inflow</w:t>
            </w:r>
          </w:p>
        </w:tc>
        <w:tc>
          <w:tcPr>
            <w:tcW w:w="1872" w:type="dxa"/>
            <w:shd w:val="clear" w:color="auto" w:fill="F8F9FA"/>
            <w:tcMar>
              <w:top w:w="100" w:type="dxa"/>
              <w:left w:w="140" w:type="dxa"/>
              <w:bottom w:w="100" w:type="dxa"/>
              <w:right w:w="140" w:type="dxa"/>
            </w:tcMar>
          </w:tcPr>
          <w:p w14:paraId="34EE1754"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8F9FA"/>
            <w:tcMar>
              <w:top w:w="100" w:type="dxa"/>
              <w:left w:w="140" w:type="dxa"/>
              <w:bottom w:w="100" w:type="dxa"/>
              <w:right w:w="140" w:type="dxa"/>
            </w:tcMar>
          </w:tcPr>
          <w:p w14:paraId="2D01CB82"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mm</w:t>
            </w:r>
          </w:p>
        </w:tc>
        <w:tc>
          <w:tcPr>
            <w:tcW w:w="1872" w:type="dxa"/>
            <w:shd w:val="clear" w:color="auto" w:fill="F8F9FA"/>
            <w:tcMar>
              <w:top w:w="100" w:type="dxa"/>
              <w:left w:w="140" w:type="dxa"/>
              <w:bottom w:w="100" w:type="dxa"/>
              <w:right w:w="140" w:type="dxa"/>
            </w:tcMar>
          </w:tcPr>
          <w:p w14:paraId="38E8F379"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Open-Meteo at Inflow Gauge</w:t>
            </w:r>
          </w:p>
        </w:tc>
      </w:tr>
      <w:tr w:rsidR="0094112E" w:rsidRPr="003D472A" w14:paraId="281D3C41" w14:textId="77777777">
        <w:trPr>
          <w:jc w:val="center"/>
        </w:trPr>
        <w:tc>
          <w:tcPr>
            <w:tcW w:w="1872" w:type="dxa"/>
            <w:shd w:val="clear" w:color="auto" w:fill="FFFFFF"/>
            <w:tcMar>
              <w:top w:w="100" w:type="dxa"/>
              <w:left w:w="140" w:type="dxa"/>
              <w:bottom w:w="100" w:type="dxa"/>
              <w:right w:w="140" w:type="dxa"/>
            </w:tcMar>
          </w:tcPr>
          <w:p w14:paraId="04AEECC9"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catchment_mean_rainfall_72h_mm</w:t>
            </w:r>
          </w:p>
        </w:tc>
        <w:tc>
          <w:tcPr>
            <w:tcW w:w="1872" w:type="dxa"/>
            <w:shd w:val="clear" w:color="auto" w:fill="FFFFFF"/>
            <w:tcMar>
              <w:top w:w="100" w:type="dxa"/>
              <w:left w:w="140" w:type="dxa"/>
              <w:bottom w:w="100" w:type="dxa"/>
              <w:right w:w="140" w:type="dxa"/>
            </w:tcMar>
          </w:tcPr>
          <w:p w14:paraId="45BE9FBB"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Basin Hydrology</w:t>
            </w:r>
          </w:p>
        </w:tc>
        <w:tc>
          <w:tcPr>
            <w:tcW w:w="1872" w:type="dxa"/>
            <w:shd w:val="clear" w:color="auto" w:fill="FFFFFF"/>
            <w:tcMar>
              <w:top w:w="100" w:type="dxa"/>
              <w:left w:w="140" w:type="dxa"/>
              <w:bottom w:w="100" w:type="dxa"/>
              <w:right w:w="140" w:type="dxa"/>
            </w:tcMar>
          </w:tcPr>
          <w:p w14:paraId="3D029210"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FFFFF"/>
            <w:tcMar>
              <w:top w:w="100" w:type="dxa"/>
              <w:left w:w="140" w:type="dxa"/>
              <w:bottom w:w="100" w:type="dxa"/>
              <w:right w:w="140" w:type="dxa"/>
            </w:tcMar>
          </w:tcPr>
          <w:p w14:paraId="26AA5471"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mm</w:t>
            </w:r>
          </w:p>
        </w:tc>
        <w:tc>
          <w:tcPr>
            <w:tcW w:w="1872" w:type="dxa"/>
            <w:shd w:val="clear" w:color="auto" w:fill="FFFFFF"/>
            <w:tcMar>
              <w:top w:w="100" w:type="dxa"/>
              <w:left w:w="140" w:type="dxa"/>
              <w:bottom w:w="100" w:type="dxa"/>
              <w:right w:w="140" w:type="dxa"/>
            </w:tcMar>
          </w:tcPr>
          <w:p w14:paraId="6F764AB7"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CWC IndoFloods Spatial Mean</w:t>
            </w:r>
          </w:p>
        </w:tc>
      </w:tr>
      <w:tr w:rsidR="0094112E" w:rsidRPr="003D472A" w14:paraId="3DFE843F" w14:textId="77777777">
        <w:trPr>
          <w:jc w:val="center"/>
        </w:trPr>
        <w:tc>
          <w:tcPr>
            <w:tcW w:w="1872" w:type="dxa"/>
            <w:shd w:val="clear" w:color="auto" w:fill="F8F9FA"/>
            <w:tcMar>
              <w:top w:w="100" w:type="dxa"/>
              <w:left w:w="140" w:type="dxa"/>
              <w:bottom w:w="100" w:type="dxa"/>
              <w:right w:w="140" w:type="dxa"/>
            </w:tcMar>
          </w:tcPr>
          <w:p w14:paraId="049D4124"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b/>
                <w:sz w:val="24"/>
                <w:szCs w:val="24"/>
              </w:rPr>
              <w:t>hand_m</w:t>
            </w:r>
          </w:p>
        </w:tc>
        <w:tc>
          <w:tcPr>
            <w:tcW w:w="1872" w:type="dxa"/>
            <w:shd w:val="clear" w:color="auto" w:fill="F8F9FA"/>
            <w:tcMar>
              <w:top w:w="100" w:type="dxa"/>
              <w:left w:w="140" w:type="dxa"/>
              <w:bottom w:w="100" w:type="dxa"/>
              <w:right w:w="140" w:type="dxa"/>
            </w:tcMar>
          </w:tcPr>
          <w:p w14:paraId="1FD8A60C"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Relative Terrain</w:t>
            </w:r>
          </w:p>
        </w:tc>
        <w:tc>
          <w:tcPr>
            <w:tcW w:w="1872" w:type="dxa"/>
            <w:shd w:val="clear" w:color="auto" w:fill="F8F9FA"/>
            <w:tcMar>
              <w:top w:w="100" w:type="dxa"/>
              <w:left w:w="140" w:type="dxa"/>
              <w:bottom w:w="100" w:type="dxa"/>
              <w:right w:w="140" w:type="dxa"/>
            </w:tcMar>
          </w:tcPr>
          <w:p w14:paraId="5566D507" w14:textId="77777777" w:rsidR="0094112E" w:rsidRPr="003D472A" w:rsidRDefault="00000000">
            <w:pPr>
              <w:jc w:val="center"/>
              <w:rPr>
                <w:rFonts w:ascii="Times New Roman" w:hAnsi="Times New Roman" w:cs="Times New Roman"/>
                <w:sz w:val="24"/>
                <w:szCs w:val="24"/>
              </w:rPr>
            </w:pPr>
            <w:r w:rsidRPr="003D472A">
              <w:rPr>
                <w:rFonts w:ascii="Times New Roman" w:hAnsi="Times New Roman" w:cs="Times New Roman"/>
                <w:sz w:val="24"/>
                <w:szCs w:val="24"/>
              </w:rPr>
              <w:t>float</w:t>
            </w:r>
          </w:p>
        </w:tc>
        <w:tc>
          <w:tcPr>
            <w:tcW w:w="1872" w:type="dxa"/>
            <w:shd w:val="clear" w:color="auto" w:fill="F8F9FA"/>
            <w:tcMar>
              <w:top w:w="100" w:type="dxa"/>
              <w:left w:w="140" w:type="dxa"/>
              <w:bottom w:w="100" w:type="dxa"/>
              <w:right w:w="140" w:type="dxa"/>
            </w:tcMar>
          </w:tcPr>
          <w:p w14:paraId="65074FFF"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m</w:t>
            </w:r>
          </w:p>
        </w:tc>
        <w:tc>
          <w:tcPr>
            <w:tcW w:w="1872" w:type="dxa"/>
            <w:shd w:val="clear" w:color="auto" w:fill="F8F9FA"/>
            <w:tcMar>
              <w:top w:w="100" w:type="dxa"/>
              <w:left w:w="140" w:type="dxa"/>
              <w:bottom w:w="100" w:type="dxa"/>
              <w:right w:w="140" w:type="dxa"/>
            </w:tcMar>
          </w:tcPr>
          <w:p w14:paraId="6494DD66"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sz w:val="24"/>
                <w:szCs w:val="24"/>
              </w:rPr>
              <w:t>Copernicus GLO-30 DEM + HydroSHEDS</w:t>
            </w:r>
          </w:p>
        </w:tc>
      </w:tr>
    </w:tbl>
    <w:p w14:paraId="682437D5" w14:textId="77777777" w:rsidR="0094112E" w:rsidRPr="003D472A" w:rsidRDefault="0094112E">
      <w:pPr>
        <w:spacing w:after="160"/>
        <w:rPr>
          <w:rFonts w:ascii="Times New Roman" w:hAnsi="Times New Roman" w:cs="Times New Roman"/>
          <w:sz w:val="24"/>
          <w:szCs w:val="24"/>
        </w:rPr>
      </w:pPr>
    </w:p>
    <w:p w14:paraId="507EC324"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6. MULTI-SENSOR PERCEPTION FUSION &amp; DYNAMIC RISK ENGINE</w:t>
      </w:r>
    </w:p>
    <w:p w14:paraId="2A1110F9"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The Fusion Engine continuously aggregates real-time optical detections from YOLOv11 and environmental exposure predictions from XGBoost into a normalized Risk Score R in [0, 100]:</w:t>
      </w:r>
    </w:p>
    <w:tbl>
      <w:tblPr>
        <w:tblW w:w="0" w:type="auto"/>
        <w:jc w:val="center"/>
        <w:tblLook w:val="04A0" w:firstRow="1" w:lastRow="0" w:firstColumn="1" w:lastColumn="0" w:noHBand="0" w:noVBand="1"/>
      </w:tblPr>
      <w:tblGrid>
        <w:gridCol w:w="2636"/>
        <w:gridCol w:w="2084"/>
      </w:tblGrid>
      <w:tr w:rsidR="0094112E" w:rsidRPr="003D472A" w14:paraId="3CA693E2" w14:textId="77777777">
        <w:trPr>
          <w:jc w:val="center"/>
        </w:trPr>
        <w:tc>
          <w:tcPr>
            <w:tcW w:w="4680" w:type="dxa"/>
            <w:shd w:val="clear" w:color="auto" w:fill="FAFBFC"/>
            <w:tcMar>
              <w:top w:w="90" w:type="dxa"/>
              <w:left w:w="200" w:type="dxa"/>
              <w:bottom w:w="90" w:type="dxa"/>
              <w:right w:w="100" w:type="dxa"/>
            </w:tcMar>
          </w:tcPr>
          <w:p w14:paraId="6BC4F293"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lastRenderedPageBreak/>
              <w:t xml:space="preserve">R(t) = </w:t>
            </w:r>
            <w:proofErr w:type="gramStart"/>
            <w:r w:rsidRPr="003D472A">
              <w:rPr>
                <w:rFonts w:ascii="Times New Roman" w:hAnsi="Times New Roman" w:cs="Times New Roman"/>
                <w:i/>
                <w:color w:val="111827"/>
                <w:sz w:val="24"/>
                <w:szCs w:val="24"/>
              </w:rPr>
              <w:t>min(</w:t>
            </w:r>
            <w:proofErr w:type="gramEnd"/>
            <w:r w:rsidRPr="003D472A">
              <w:rPr>
                <w:rFonts w:ascii="Times New Roman" w:hAnsi="Times New Roman" w:cs="Times New Roman"/>
                <w:i/>
                <w:color w:val="111827"/>
                <w:sz w:val="24"/>
                <w:szCs w:val="24"/>
              </w:rPr>
              <w:t xml:space="preserve">100, </w:t>
            </w:r>
            <w:proofErr w:type="gramStart"/>
            <w:r w:rsidRPr="003D472A">
              <w:rPr>
                <w:rFonts w:ascii="Times New Roman" w:hAnsi="Times New Roman" w:cs="Times New Roman"/>
                <w:i/>
                <w:color w:val="111827"/>
                <w:sz w:val="24"/>
                <w:szCs w:val="24"/>
              </w:rPr>
              <w:t>max(</w:t>
            </w:r>
            <w:proofErr w:type="gramEnd"/>
            <w:r w:rsidRPr="003D472A">
              <w:rPr>
                <w:rFonts w:ascii="Times New Roman" w:hAnsi="Times New Roman" w:cs="Times New Roman"/>
                <w:i/>
                <w:color w:val="111827"/>
                <w:sz w:val="24"/>
                <w:szCs w:val="24"/>
              </w:rPr>
              <w:t xml:space="preserve">0, max_i S_{vis}(v_i) + delta * </w:t>
            </w:r>
            <w:proofErr w:type="gramStart"/>
            <w:r w:rsidRPr="003D472A">
              <w:rPr>
                <w:rFonts w:ascii="Times New Roman" w:hAnsi="Times New Roman" w:cs="Times New Roman"/>
                <w:i/>
                <w:color w:val="111827"/>
                <w:sz w:val="24"/>
                <w:szCs w:val="24"/>
              </w:rPr>
              <w:t>max(</w:t>
            </w:r>
            <w:proofErr w:type="gramEnd"/>
            <w:r w:rsidRPr="003D472A">
              <w:rPr>
                <w:rFonts w:ascii="Times New Roman" w:hAnsi="Times New Roman" w:cs="Times New Roman"/>
                <w:i/>
                <w:color w:val="111827"/>
                <w:sz w:val="24"/>
                <w:szCs w:val="24"/>
              </w:rPr>
              <w:t>0, k - 1) + S_{env}))</w:t>
            </w:r>
          </w:p>
        </w:tc>
        <w:tc>
          <w:tcPr>
            <w:tcW w:w="4680" w:type="dxa"/>
            <w:shd w:val="clear" w:color="auto" w:fill="FAFBFC"/>
            <w:tcMar>
              <w:top w:w="90" w:type="dxa"/>
              <w:left w:w="100" w:type="dxa"/>
              <w:bottom w:w="90" w:type="dxa"/>
              <w:right w:w="200" w:type="dxa"/>
            </w:tcMar>
          </w:tcPr>
          <w:p w14:paraId="7D9AF499"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(9)</w:t>
            </w:r>
          </w:p>
        </w:tc>
      </w:tr>
    </w:tbl>
    <w:p w14:paraId="5D841A25" w14:textId="77777777" w:rsidR="0094112E" w:rsidRPr="003D472A" w:rsidRDefault="0094112E">
      <w:pPr>
        <w:spacing w:after="80"/>
        <w:rPr>
          <w:rFonts w:ascii="Times New Roman" w:hAnsi="Times New Roman" w:cs="Times New Roman"/>
          <w:sz w:val="24"/>
          <w:szCs w:val="24"/>
        </w:rPr>
      </w:pPr>
    </w:p>
    <w:p w14:paraId="2FEBDD80"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where S_{vis} in {20, 40, 60, 80} represents the maximum detected visual severity, delta = 5 is the compound multi-hazard density penalty, and S_{env} in {0, 30, 50} represents the environmental risk tier (Safe, Risky, Blocked).</w:t>
      </w:r>
    </w:p>
    <w:p w14:paraId="069D4C19"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7. DISASTER-AWARE DYNAMIC A* PATHFINDING</w:t>
      </w:r>
    </w:p>
    <w:p w14:paraId="5B7D1154"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7.1 Haversine Distance Heuristic</w:t>
      </w:r>
    </w:p>
    <w:p w14:paraId="680EB0D5"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The spatial heuristic h(n) is computed using the great-circle Haversine formula on a spherical earth (R = 6371.0 km):</w:t>
      </w:r>
    </w:p>
    <w:tbl>
      <w:tblPr>
        <w:tblW w:w="0" w:type="auto"/>
        <w:jc w:val="center"/>
        <w:tblLook w:val="04A0" w:firstRow="1" w:lastRow="0" w:firstColumn="1" w:lastColumn="0" w:noHBand="0" w:noVBand="1"/>
      </w:tblPr>
      <w:tblGrid>
        <w:gridCol w:w="2492"/>
        <w:gridCol w:w="2228"/>
      </w:tblGrid>
      <w:tr w:rsidR="0094112E" w:rsidRPr="003D472A" w14:paraId="18E7DB19" w14:textId="77777777">
        <w:trPr>
          <w:jc w:val="center"/>
        </w:trPr>
        <w:tc>
          <w:tcPr>
            <w:tcW w:w="4680" w:type="dxa"/>
            <w:shd w:val="clear" w:color="auto" w:fill="FAFBFC"/>
            <w:tcMar>
              <w:top w:w="90" w:type="dxa"/>
              <w:left w:w="200" w:type="dxa"/>
              <w:bottom w:w="90" w:type="dxa"/>
              <w:right w:w="100" w:type="dxa"/>
            </w:tcMar>
          </w:tcPr>
          <w:p w14:paraId="16A2DC1C"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h(n) = 2R * arctan</w:t>
            </w:r>
            <w:proofErr w:type="gramStart"/>
            <w:r w:rsidRPr="003D472A">
              <w:rPr>
                <w:rFonts w:ascii="Times New Roman" w:hAnsi="Times New Roman" w:cs="Times New Roman"/>
                <w:i/>
                <w:color w:val="111827"/>
                <w:sz w:val="24"/>
                <w:szCs w:val="24"/>
              </w:rPr>
              <w:t>2( sqrt</w:t>
            </w:r>
            <w:proofErr w:type="gramEnd"/>
            <w:r w:rsidRPr="003D472A">
              <w:rPr>
                <w:rFonts w:ascii="Times New Roman" w:hAnsi="Times New Roman" w:cs="Times New Roman"/>
                <w:i/>
                <w:color w:val="111827"/>
                <w:sz w:val="24"/>
                <w:szCs w:val="24"/>
              </w:rPr>
              <w:t xml:space="preserve">(a), </w:t>
            </w:r>
            <w:proofErr w:type="gramStart"/>
            <w:r w:rsidRPr="003D472A">
              <w:rPr>
                <w:rFonts w:ascii="Times New Roman" w:hAnsi="Times New Roman" w:cs="Times New Roman"/>
                <w:i/>
                <w:color w:val="111827"/>
                <w:sz w:val="24"/>
                <w:szCs w:val="24"/>
              </w:rPr>
              <w:t>sqrt(</w:t>
            </w:r>
            <w:proofErr w:type="gramEnd"/>
            <w:r w:rsidRPr="003D472A">
              <w:rPr>
                <w:rFonts w:ascii="Times New Roman" w:hAnsi="Times New Roman" w:cs="Times New Roman"/>
                <w:i/>
                <w:color w:val="111827"/>
                <w:sz w:val="24"/>
                <w:szCs w:val="24"/>
              </w:rPr>
              <w:t>1 - a</w:t>
            </w:r>
            <w:proofErr w:type="gramStart"/>
            <w:r w:rsidRPr="003D472A">
              <w:rPr>
                <w:rFonts w:ascii="Times New Roman" w:hAnsi="Times New Roman" w:cs="Times New Roman"/>
                <w:i/>
                <w:color w:val="111827"/>
                <w:sz w:val="24"/>
                <w:szCs w:val="24"/>
              </w:rPr>
              <w:t>) )</w:t>
            </w:r>
            <w:proofErr w:type="gramEnd"/>
          </w:p>
        </w:tc>
        <w:tc>
          <w:tcPr>
            <w:tcW w:w="4680" w:type="dxa"/>
            <w:shd w:val="clear" w:color="auto" w:fill="FAFBFC"/>
            <w:tcMar>
              <w:top w:w="90" w:type="dxa"/>
              <w:left w:w="100" w:type="dxa"/>
              <w:bottom w:w="90" w:type="dxa"/>
              <w:right w:w="200" w:type="dxa"/>
            </w:tcMar>
          </w:tcPr>
          <w:p w14:paraId="00E2D3E6"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(10)</w:t>
            </w:r>
          </w:p>
        </w:tc>
      </w:tr>
    </w:tbl>
    <w:p w14:paraId="11CD1EEF" w14:textId="77777777" w:rsidR="0094112E" w:rsidRPr="003D472A" w:rsidRDefault="0094112E">
      <w:pPr>
        <w:spacing w:after="80"/>
        <w:rPr>
          <w:rFonts w:ascii="Times New Roman" w:hAnsi="Times New Roman" w:cs="Times New Roman"/>
          <w:sz w:val="24"/>
          <w:szCs w:val="24"/>
        </w:rPr>
      </w:pPr>
    </w:p>
    <w:p w14:paraId="0528756E"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where a = sin^2(delta_phi / 2) + cos(phi_1) * cos(phi_2) * sin^2(delta_lambda / 2).</w:t>
      </w:r>
    </w:p>
    <w:p w14:paraId="7C2DBA70"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7.2 Hazard Proximity Exponential Edge Traversal Cost</w:t>
      </w:r>
    </w:p>
    <w:p w14:paraId="01564919"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 xml:space="preserve">For each road segment e = (p_1, p_2) with midpoint p_{mid}, edge traversal cost </w:t>
      </w:r>
      <w:proofErr w:type="gramStart"/>
      <w:r w:rsidRPr="003D472A">
        <w:rPr>
          <w:rFonts w:ascii="Times New Roman" w:hAnsi="Times New Roman" w:cs="Times New Roman"/>
          <w:color w:val="212529"/>
          <w:sz w:val="24"/>
          <w:szCs w:val="24"/>
        </w:rPr>
        <w:t>g(</w:t>
      </w:r>
      <w:proofErr w:type="gramEnd"/>
      <w:r w:rsidRPr="003D472A">
        <w:rPr>
          <w:rFonts w:ascii="Times New Roman" w:hAnsi="Times New Roman" w:cs="Times New Roman"/>
          <w:color w:val="212529"/>
          <w:sz w:val="24"/>
          <w:szCs w:val="24"/>
        </w:rPr>
        <w:t>p_1, p_2) incorporates an inverse-distance decay penalty against all active disaster epicenters h in H:</w:t>
      </w:r>
    </w:p>
    <w:tbl>
      <w:tblPr>
        <w:tblW w:w="0" w:type="auto"/>
        <w:jc w:val="center"/>
        <w:tblLook w:val="04A0" w:firstRow="1" w:lastRow="0" w:firstColumn="1" w:lastColumn="0" w:noHBand="0" w:noVBand="1"/>
      </w:tblPr>
      <w:tblGrid>
        <w:gridCol w:w="2711"/>
        <w:gridCol w:w="2009"/>
      </w:tblGrid>
      <w:tr w:rsidR="0094112E" w:rsidRPr="003D472A" w14:paraId="55A1FA4E" w14:textId="77777777">
        <w:trPr>
          <w:jc w:val="center"/>
        </w:trPr>
        <w:tc>
          <w:tcPr>
            <w:tcW w:w="4680" w:type="dxa"/>
            <w:shd w:val="clear" w:color="auto" w:fill="FAFBFC"/>
            <w:tcMar>
              <w:top w:w="90" w:type="dxa"/>
              <w:left w:w="200" w:type="dxa"/>
              <w:bottom w:w="90" w:type="dxa"/>
              <w:right w:w="100" w:type="dxa"/>
            </w:tcMar>
          </w:tcPr>
          <w:p w14:paraId="663EFD40" w14:textId="77777777" w:rsidR="0094112E" w:rsidRPr="003D472A" w:rsidRDefault="00000000">
            <w:pPr>
              <w:rPr>
                <w:rFonts w:ascii="Times New Roman" w:hAnsi="Times New Roman" w:cs="Times New Roman"/>
                <w:sz w:val="24"/>
                <w:szCs w:val="24"/>
              </w:rPr>
            </w:pPr>
            <w:proofErr w:type="gramStart"/>
            <w:r w:rsidRPr="003D472A">
              <w:rPr>
                <w:rFonts w:ascii="Times New Roman" w:hAnsi="Times New Roman" w:cs="Times New Roman"/>
                <w:i/>
                <w:color w:val="111827"/>
                <w:sz w:val="24"/>
                <w:szCs w:val="24"/>
              </w:rPr>
              <w:t>g(</w:t>
            </w:r>
            <w:proofErr w:type="gramEnd"/>
            <w:r w:rsidRPr="003D472A">
              <w:rPr>
                <w:rFonts w:ascii="Times New Roman" w:hAnsi="Times New Roman" w:cs="Times New Roman"/>
                <w:i/>
                <w:color w:val="111827"/>
                <w:sz w:val="24"/>
                <w:szCs w:val="24"/>
              </w:rPr>
              <w:t xml:space="preserve">p_1, p_2) = </w:t>
            </w:r>
            <w:proofErr w:type="gramStart"/>
            <w:r w:rsidRPr="003D472A">
              <w:rPr>
                <w:rFonts w:ascii="Times New Roman" w:hAnsi="Times New Roman" w:cs="Times New Roman"/>
                <w:i/>
                <w:color w:val="111827"/>
                <w:sz w:val="24"/>
                <w:szCs w:val="24"/>
              </w:rPr>
              <w:t>dist(</w:t>
            </w:r>
            <w:proofErr w:type="gramEnd"/>
            <w:r w:rsidRPr="003D472A">
              <w:rPr>
                <w:rFonts w:ascii="Times New Roman" w:hAnsi="Times New Roman" w:cs="Times New Roman"/>
                <w:i/>
                <w:color w:val="111827"/>
                <w:sz w:val="24"/>
                <w:szCs w:val="24"/>
              </w:rPr>
              <w:t>p_1, p_2) * [ 1.0 + sum</w:t>
            </w:r>
            <w:proofErr w:type="gramStart"/>
            <w:r w:rsidRPr="003D472A">
              <w:rPr>
                <w:rFonts w:ascii="Times New Roman" w:hAnsi="Times New Roman" w:cs="Times New Roman"/>
                <w:i/>
                <w:color w:val="111827"/>
                <w:sz w:val="24"/>
                <w:szCs w:val="24"/>
              </w:rPr>
              <w:t>_{</w:t>
            </w:r>
            <w:proofErr w:type="gramEnd"/>
            <w:r w:rsidRPr="003D472A">
              <w:rPr>
                <w:rFonts w:ascii="Times New Roman" w:hAnsi="Times New Roman" w:cs="Times New Roman"/>
                <w:i/>
                <w:color w:val="111827"/>
                <w:sz w:val="24"/>
                <w:szCs w:val="24"/>
              </w:rPr>
              <w:t xml:space="preserve">h in H} W_{base}(h) * alpha_{sev}(h) * </w:t>
            </w:r>
            <w:proofErr w:type="gramStart"/>
            <w:r w:rsidRPr="003D472A">
              <w:rPr>
                <w:rFonts w:ascii="Times New Roman" w:hAnsi="Times New Roman" w:cs="Times New Roman"/>
                <w:i/>
                <w:color w:val="111827"/>
                <w:sz w:val="24"/>
                <w:szCs w:val="24"/>
              </w:rPr>
              <w:t>max(</w:t>
            </w:r>
            <w:proofErr w:type="gramEnd"/>
            <w:r w:rsidRPr="003D472A">
              <w:rPr>
                <w:rFonts w:ascii="Times New Roman" w:hAnsi="Times New Roman" w:cs="Times New Roman"/>
                <w:i/>
                <w:color w:val="111827"/>
                <w:sz w:val="24"/>
                <w:szCs w:val="24"/>
              </w:rPr>
              <w:t xml:space="preserve">0, </w:t>
            </w:r>
            <w:r w:rsidRPr="003D472A">
              <w:rPr>
                <w:rFonts w:ascii="Times New Roman" w:hAnsi="Times New Roman" w:cs="Times New Roman"/>
                <w:i/>
                <w:color w:val="111827"/>
                <w:sz w:val="24"/>
                <w:szCs w:val="24"/>
              </w:rPr>
              <w:t>1.0 - dist(p_{mid}, h) / R_{inf}</w:t>
            </w:r>
            <w:proofErr w:type="gramStart"/>
            <w:r w:rsidRPr="003D472A">
              <w:rPr>
                <w:rFonts w:ascii="Times New Roman" w:hAnsi="Times New Roman" w:cs="Times New Roman"/>
                <w:i/>
                <w:color w:val="111827"/>
                <w:sz w:val="24"/>
                <w:szCs w:val="24"/>
              </w:rPr>
              <w:t>) ]</w:t>
            </w:r>
            <w:proofErr w:type="gramEnd"/>
          </w:p>
        </w:tc>
        <w:tc>
          <w:tcPr>
            <w:tcW w:w="4680" w:type="dxa"/>
            <w:shd w:val="clear" w:color="auto" w:fill="FAFBFC"/>
            <w:tcMar>
              <w:top w:w="90" w:type="dxa"/>
              <w:left w:w="100" w:type="dxa"/>
              <w:bottom w:w="90" w:type="dxa"/>
              <w:right w:w="200" w:type="dxa"/>
            </w:tcMar>
          </w:tcPr>
          <w:p w14:paraId="198670CC"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(11)</w:t>
            </w:r>
          </w:p>
        </w:tc>
      </w:tr>
    </w:tbl>
    <w:p w14:paraId="420C6504" w14:textId="77777777" w:rsidR="0094112E" w:rsidRPr="003D472A" w:rsidRDefault="0094112E">
      <w:pPr>
        <w:spacing w:after="80"/>
        <w:rPr>
          <w:rFonts w:ascii="Times New Roman" w:hAnsi="Times New Roman" w:cs="Times New Roman"/>
          <w:sz w:val="24"/>
          <w:szCs w:val="24"/>
        </w:rPr>
      </w:pPr>
    </w:p>
    <w:p w14:paraId="708C2CC2"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where R_{inf} = 1.5 km represents the influence radius, W_{base} in {500, 1000, 100000} represents the disaster type weight, and alpha_{sev} in {1.0, 1.5, 2.0} scales critical threats.</w:t>
      </w:r>
    </w:p>
    <w:p w14:paraId="4C9DF44E"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7.3 Mathematical Hann Window Lateral Bypass Formulation</w:t>
      </w:r>
    </w:p>
    <w:p w14:paraId="62B2287B"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When an active flood or fire hazard intersects a roadway corridor, localized routing must divert traffic completely outside the hazard inundation perimeter. Let p_0(t) denote the nominal road centerline coordinates. Let h = (h_{lat}, h_{lng}) be the hazard epicenter with radius R_{hazard}. The safe clearance distance D_{clearance} is defined as:</w:t>
      </w:r>
    </w:p>
    <w:tbl>
      <w:tblPr>
        <w:tblW w:w="0" w:type="auto"/>
        <w:jc w:val="center"/>
        <w:tblLook w:val="04A0" w:firstRow="1" w:lastRow="0" w:firstColumn="1" w:lastColumn="0" w:noHBand="0" w:noVBand="1"/>
      </w:tblPr>
      <w:tblGrid>
        <w:gridCol w:w="2706"/>
        <w:gridCol w:w="2014"/>
      </w:tblGrid>
      <w:tr w:rsidR="0094112E" w:rsidRPr="003D472A" w14:paraId="282A7B12" w14:textId="77777777">
        <w:trPr>
          <w:jc w:val="center"/>
        </w:trPr>
        <w:tc>
          <w:tcPr>
            <w:tcW w:w="4680" w:type="dxa"/>
            <w:shd w:val="clear" w:color="auto" w:fill="FAFBFC"/>
            <w:tcMar>
              <w:top w:w="90" w:type="dxa"/>
              <w:left w:w="200" w:type="dxa"/>
              <w:bottom w:w="90" w:type="dxa"/>
              <w:right w:w="100" w:type="dxa"/>
            </w:tcMar>
          </w:tcPr>
          <w:p w14:paraId="67C7CFD9"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D_{clearance} = R_{hazard} + delta_{buffer}</w:t>
            </w:r>
          </w:p>
        </w:tc>
        <w:tc>
          <w:tcPr>
            <w:tcW w:w="4680" w:type="dxa"/>
            <w:shd w:val="clear" w:color="auto" w:fill="FAFBFC"/>
            <w:tcMar>
              <w:top w:w="90" w:type="dxa"/>
              <w:left w:w="100" w:type="dxa"/>
              <w:bottom w:w="90" w:type="dxa"/>
              <w:right w:w="200" w:type="dxa"/>
            </w:tcMar>
          </w:tcPr>
          <w:p w14:paraId="777D9783"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(12)</w:t>
            </w:r>
          </w:p>
        </w:tc>
      </w:tr>
    </w:tbl>
    <w:p w14:paraId="00C02C66" w14:textId="77777777" w:rsidR="0094112E" w:rsidRPr="003D472A" w:rsidRDefault="0094112E">
      <w:pPr>
        <w:spacing w:after="80"/>
        <w:rPr>
          <w:rFonts w:ascii="Times New Roman" w:hAnsi="Times New Roman" w:cs="Times New Roman"/>
          <w:sz w:val="24"/>
          <w:szCs w:val="24"/>
        </w:rPr>
      </w:pPr>
    </w:p>
    <w:p w14:paraId="6773E3C6"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where delta_{buffer} = 0.35 km (350 meters) guarantees complete avoidance of edge turbulence. The lateral displacement along normal vector n_{safe} is governed by a raised-cosine (Hann) window:</w:t>
      </w:r>
    </w:p>
    <w:tbl>
      <w:tblPr>
        <w:tblW w:w="0" w:type="auto"/>
        <w:jc w:val="center"/>
        <w:tblLook w:val="04A0" w:firstRow="1" w:lastRow="0" w:firstColumn="1" w:lastColumn="0" w:noHBand="0" w:noVBand="1"/>
      </w:tblPr>
      <w:tblGrid>
        <w:gridCol w:w="2706"/>
        <w:gridCol w:w="2014"/>
      </w:tblGrid>
      <w:tr w:rsidR="0094112E" w:rsidRPr="003D472A" w14:paraId="1DD85A4E" w14:textId="77777777">
        <w:trPr>
          <w:jc w:val="center"/>
        </w:trPr>
        <w:tc>
          <w:tcPr>
            <w:tcW w:w="4680" w:type="dxa"/>
            <w:shd w:val="clear" w:color="auto" w:fill="FAFBFC"/>
            <w:tcMar>
              <w:top w:w="90" w:type="dxa"/>
              <w:left w:w="200" w:type="dxa"/>
              <w:bottom w:w="90" w:type="dxa"/>
              <w:right w:w="100" w:type="dxa"/>
            </w:tcMar>
          </w:tcPr>
          <w:p w14:paraId="63F60EE7"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i/>
                <w:color w:val="111827"/>
                <w:sz w:val="24"/>
                <w:szCs w:val="24"/>
              </w:rPr>
              <w:t xml:space="preserve">p(t) = p_0(t) + n_{safe} * D_{clearance} * 0.5 * [ 1.0 + </w:t>
            </w:r>
            <w:proofErr w:type="gramStart"/>
            <w:r w:rsidRPr="003D472A">
              <w:rPr>
                <w:rFonts w:ascii="Times New Roman" w:hAnsi="Times New Roman" w:cs="Times New Roman"/>
                <w:i/>
                <w:color w:val="111827"/>
                <w:sz w:val="24"/>
                <w:szCs w:val="24"/>
              </w:rPr>
              <w:t>cos( (</w:t>
            </w:r>
            <w:proofErr w:type="gramEnd"/>
            <w:r w:rsidRPr="003D472A">
              <w:rPr>
                <w:rFonts w:ascii="Times New Roman" w:hAnsi="Times New Roman" w:cs="Times New Roman"/>
                <w:i/>
                <w:color w:val="111827"/>
                <w:sz w:val="24"/>
                <w:szCs w:val="24"/>
              </w:rPr>
              <w:t xml:space="preserve">dist(p_0(t), h) / R_{impact}) * </w:t>
            </w:r>
            <w:proofErr w:type="gramStart"/>
            <w:r w:rsidRPr="003D472A">
              <w:rPr>
                <w:rFonts w:ascii="Times New Roman" w:hAnsi="Times New Roman" w:cs="Times New Roman"/>
                <w:i/>
                <w:color w:val="111827"/>
                <w:sz w:val="24"/>
                <w:szCs w:val="24"/>
              </w:rPr>
              <w:t>pi )</w:t>
            </w:r>
            <w:proofErr w:type="gramEnd"/>
            <w:r w:rsidRPr="003D472A">
              <w:rPr>
                <w:rFonts w:ascii="Times New Roman" w:hAnsi="Times New Roman" w:cs="Times New Roman"/>
                <w:i/>
                <w:color w:val="111827"/>
                <w:sz w:val="24"/>
                <w:szCs w:val="24"/>
              </w:rPr>
              <w:t xml:space="preserve"> ]</w:t>
            </w:r>
          </w:p>
        </w:tc>
        <w:tc>
          <w:tcPr>
            <w:tcW w:w="4680" w:type="dxa"/>
            <w:shd w:val="clear" w:color="auto" w:fill="FAFBFC"/>
            <w:tcMar>
              <w:top w:w="90" w:type="dxa"/>
              <w:left w:w="100" w:type="dxa"/>
              <w:bottom w:w="90" w:type="dxa"/>
              <w:right w:w="200" w:type="dxa"/>
            </w:tcMar>
          </w:tcPr>
          <w:p w14:paraId="71A68F67" w14:textId="77777777" w:rsidR="0094112E" w:rsidRPr="003D472A" w:rsidRDefault="00000000">
            <w:pPr>
              <w:jc w:val="right"/>
              <w:rPr>
                <w:rFonts w:ascii="Times New Roman" w:hAnsi="Times New Roman" w:cs="Times New Roman"/>
                <w:sz w:val="24"/>
                <w:szCs w:val="24"/>
              </w:rPr>
            </w:pPr>
            <w:r w:rsidRPr="003D472A">
              <w:rPr>
                <w:rFonts w:ascii="Times New Roman" w:hAnsi="Times New Roman" w:cs="Times New Roman"/>
                <w:b/>
                <w:color w:val="2E4053"/>
                <w:sz w:val="24"/>
                <w:szCs w:val="24"/>
              </w:rPr>
              <w:t>(13)</w:t>
            </w:r>
          </w:p>
        </w:tc>
      </w:tr>
    </w:tbl>
    <w:p w14:paraId="100D2DCB" w14:textId="77777777" w:rsidR="0094112E" w:rsidRPr="003D472A" w:rsidRDefault="0094112E">
      <w:pPr>
        <w:spacing w:after="80"/>
        <w:rPr>
          <w:rFonts w:ascii="Times New Roman" w:hAnsi="Times New Roman" w:cs="Times New Roman"/>
          <w:sz w:val="24"/>
          <w:szCs w:val="24"/>
        </w:rPr>
      </w:pPr>
    </w:p>
    <w:p w14:paraId="64A274D9"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lastRenderedPageBreak/>
        <w:t>for dist(p_0(t), h) &lt; R_{impact}, where R_{impact} = 2.4 * D_{clearance}. Equation 13 guarantees that lateral displacement achieves its exact maximum clearance D_{clearance} directly opposite the hazard epicenter (dist = 0) and smoothly tapers to zero at the entry and exit boundaries. Figure 5 illustrates the lateral detour clearance profile contrasting the proposed Hann window formulation against naive sinusoidal bypasses.</w:t>
      </w:r>
    </w:p>
    <w:p w14:paraId="47699A33" w14:textId="77777777" w:rsidR="0094112E" w:rsidRPr="003D472A" w:rsidRDefault="0094112E">
      <w:pPr>
        <w:spacing w:before="160" w:after="40"/>
        <w:jc w:val="center"/>
        <w:rPr>
          <w:rFonts w:ascii="Times New Roman" w:hAnsi="Times New Roman" w:cs="Times New Roman"/>
          <w:sz w:val="24"/>
          <w:szCs w:val="24"/>
        </w:rPr>
      </w:pPr>
    </w:p>
    <w:p w14:paraId="394D698C"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73FA22FD" wp14:editId="5E1D343A">
            <wp:extent cx="5669280" cy="3259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etour_clearance_curve.png"/>
                    <pic:cNvPicPr/>
                  </pic:nvPicPr>
                  <pic:blipFill>
                    <a:blip r:embed="rId10"/>
                    <a:stretch>
                      <a:fillRect/>
                    </a:stretch>
                  </pic:blipFill>
                  <pic:spPr>
                    <a:xfrm>
                      <a:off x="0" y="0"/>
                      <a:ext cx="5669280" cy="3259836"/>
                    </a:xfrm>
                    <a:prstGeom prst="rect">
                      <a:avLst/>
                    </a:prstGeom>
                  </pic:spPr>
                </pic:pic>
              </a:graphicData>
            </a:graphic>
          </wp:inline>
        </w:drawing>
      </w:r>
    </w:p>
    <w:p w14:paraId="69D70396"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5: </w:t>
      </w:r>
      <w:r w:rsidRPr="003D472A">
        <w:rPr>
          <w:rFonts w:ascii="Times New Roman" w:hAnsi="Times New Roman" w:cs="Times New Roman"/>
          <w:i/>
          <w:color w:val="212529"/>
          <w:sz w:val="24"/>
          <w:szCs w:val="24"/>
        </w:rPr>
        <w:t>Lateral Detour Displacement Profile Across Longitudinal Road Corridor: Comparison of the Proposed Hann Raised-Cosine Window (+880m peak clearance) against Flawed Sinusoidal Formulations (which dipped to 0m at the flood epicenter).</w:t>
      </w:r>
    </w:p>
    <w:p w14:paraId="78B188A0"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8. EXPERIMENTAL EVALUATION &amp; ACCURACY BENCHMARKS</w:t>
      </w:r>
    </w:p>
    <w:p w14:paraId="4DD35AFC"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8.1 Comparative ROC Analysis on Unseen Roads</w:t>
      </w:r>
    </w:p>
    <w:p w14:paraId="40564EF0"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Figure 6 presents the Receiver Operating Characteristic (ROC) curves on the primary unseen-road evaluation benchmark (N=18, 0.0% road overlap). While XGBoost V2 suffered memorization breakdown (ROC-AUC = 0.5827) and V3 achieved 0.7792, XGBoost V4 achieves an ideal ROC-AUC of 1.0000, establishing complete discriminatory separation between exposed and unexposed corridors.</w:t>
      </w:r>
    </w:p>
    <w:p w14:paraId="4A1F1B6A" w14:textId="77777777" w:rsidR="0094112E" w:rsidRPr="003D472A" w:rsidRDefault="0094112E">
      <w:pPr>
        <w:spacing w:before="160" w:after="40"/>
        <w:jc w:val="center"/>
        <w:rPr>
          <w:rFonts w:ascii="Times New Roman" w:hAnsi="Times New Roman" w:cs="Times New Roman"/>
          <w:sz w:val="24"/>
          <w:szCs w:val="24"/>
        </w:rPr>
      </w:pPr>
    </w:p>
    <w:p w14:paraId="266B7D43"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216979B4" wp14:editId="666E9FB1">
            <wp:extent cx="5303520" cy="4167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c_comparison.png"/>
                    <pic:cNvPicPr/>
                  </pic:nvPicPr>
                  <pic:blipFill>
                    <a:blip r:embed="rId11"/>
                    <a:stretch>
                      <a:fillRect/>
                    </a:stretch>
                  </pic:blipFill>
                  <pic:spPr>
                    <a:xfrm>
                      <a:off x="0" y="0"/>
                      <a:ext cx="5303520" cy="4167051"/>
                    </a:xfrm>
                    <a:prstGeom prst="rect">
                      <a:avLst/>
                    </a:prstGeom>
                  </pic:spPr>
                </pic:pic>
              </a:graphicData>
            </a:graphic>
          </wp:inline>
        </w:drawing>
      </w:r>
    </w:p>
    <w:p w14:paraId="04B13F52"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6: </w:t>
      </w:r>
      <w:r w:rsidRPr="003D472A">
        <w:rPr>
          <w:rFonts w:ascii="Times New Roman" w:hAnsi="Times New Roman" w:cs="Times New Roman"/>
          <w:i/>
          <w:color w:val="212529"/>
          <w:sz w:val="24"/>
          <w:szCs w:val="24"/>
        </w:rPr>
        <w:t xml:space="preserve">Receiver Operating Characteristic (ROC) Comparison on </w:t>
      </w:r>
      <w:r w:rsidRPr="003D472A">
        <w:rPr>
          <w:rFonts w:ascii="Times New Roman" w:hAnsi="Times New Roman" w:cs="Times New Roman"/>
          <w:i/>
          <w:color w:val="212529"/>
          <w:sz w:val="24"/>
          <w:szCs w:val="24"/>
        </w:rPr>
        <w:lastRenderedPageBreak/>
        <w:t>Primary Unseen-Road Evaluation Benchmark (N=18): XGBoost V4 (AUC = 1.0000) vs. XGBoost V3 (AUC = 0.7792) vs. XGBoost V2 (AUC = 0.5827).</w:t>
      </w:r>
    </w:p>
    <w:p w14:paraId="1ED6E74F"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8.2 Precision-Recall Dynamics</w:t>
      </w:r>
    </w:p>
    <w:p w14:paraId="35749638"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Given the class imbalance inherent in disaster events, Precision-Recall (PR) curves provide an essential evaluation metric. As shown in Figure 7, XGBoost V4 achieves a PR-AUC of 1.0000, significantly outperforming the empirical prevalence baseline (P = 0.3889) and XGBoost V3 (PR-AUC = 0.5362).</w:t>
      </w:r>
    </w:p>
    <w:p w14:paraId="54B3B7FC" w14:textId="77777777" w:rsidR="0094112E" w:rsidRPr="003D472A" w:rsidRDefault="0094112E">
      <w:pPr>
        <w:spacing w:before="160" w:after="40"/>
        <w:jc w:val="center"/>
        <w:rPr>
          <w:rFonts w:ascii="Times New Roman" w:hAnsi="Times New Roman" w:cs="Times New Roman"/>
          <w:sz w:val="24"/>
          <w:szCs w:val="24"/>
        </w:rPr>
      </w:pPr>
    </w:p>
    <w:p w14:paraId="0DA62FFE"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3CF13712" wp14:editId="0CDA8B5A">
            <wp:extent cx="5303520" cy="4167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_comparison.png"/>
                    <pic:cNvPicPr/>
                  </pic:nvPicPr>
                  <pic:blipFill>
                    <a:blip r:embed="rId12"/>
                    <a:stretch>
                      <a:fillRect/>
                    </a:stretch>
                  </pic:blipFill>
                  <pic:spPr>
                    <a:xfrm>
                      <a:off x="0" y="0"/>
                      <a:ext cx="5303520" cy="4167051"/>
                    </a:xfrm>
                    <a:prstGeom prst="rect">
                      <a:avLst/>
                    </a:prstGeom>
                  </pic:spPr>
                </pic:pic>
              </a:graphicData>
            </a:graphic>
          </wp:inline>
        </w:drawing>
      </w:r>
    </w:p>
    <w:p w14:paraId="3B8BD6E6"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7: </w:t>
      </w:r>
      <w:r w:rsidRPr="003D472A">
        <w:rPr>
          <w:rFonts w:ascii="Times New Roman" w:hAnsi="Times New Roman" w:cs="Times New Roman"/>
          <w:i/>
          <w:color w:val="212529"/>
          <w:sz w:val="24"/>
          <w:szCs w:val="24"/>
        </w:rPr>
        <w:t xml:space="preserve">Precision-Recall (PR) Curves on Primary Unseen-Road Test Split: Demonstrating zero false negatives and </w:t>
      </w:r>
      <w:r w:rsidRPr="003D472A">
        <w:rPr>
          <w:rFonts w:ascii="Times New Roman" w:hAnsi="Times New Roman" w:cs="Times New Roman"/>
          <w:i/>
          <w:color w:val="212529"/>
          <w:sz w:val="24"/>
          <w:szCs w:val="24"/>
        </w:rPr>
        <w:t>perfect rank ordering achieved by XGBoost V4.</w:t>
      </w:r>
    </w:p>
    <w:p w14:paraId="7EC01529"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8.3 Feature Importance (XGBoost Gain)</w:t>
      </w:r>
    </w:p>
    <w:p w14:paraId="29F8BD68"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Figure 8 illustrates the distribution of XGBoost Gain importance across the 8 features. Height Above Nearest Drainage (hand_m) represents the single dominant predictor, accounting for 25.96% of total split gain, followed by antecedent 72-hour precipitation (17.87%) and upstream river reach inflow (17.30%).</w:t>
      </w:r>
    </w:p>
    <w:p w14:paraId="46870DD5" w14:textId="77777777" w:rsidR="0094112E" w:rsidRPr="003D472A" w:rsidRDefault="0094112E">
      <w:pPr>
        <w:spacing w:before="160" w:after="40"/>
        <w:jc w:val="center"/>
        <w:rPr>
          <w:rFonts w:ascii="Times New Roman" w:hAnsi="Times New Roman" w:cs="Times New Roman"/>
          <w:sz w:val="24"/>
          <w:szCs w:val="24"/>
        </w:rPr>
      </w:pPr>
    </w:p>
    <w:p w14:paraId="462A700E"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3720BF0F" wp14:editId="7E4E613C">
            <wp:extent cx="5669280" cy="3401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mportance.png"/>
                    <pic:cNvPicPr/>
                  </pic:nvPicPr>
                  <pic:blipFill>
                    <a:blip r:embed="rId13"/>
                    <a:stretch>
                      <a:fillRect/>
                    </a:stretch>
                  </pic:blipFill>
                  <pic:spPr>
                    <a:xfrm>
                      <a:off x="0" y="0"/>
                      <a:ext cx="5669280" cy="3401568"/>
                    </a:xfrm>
                    <a:prstGeom prst="rect">
                      <a:avLst/>
                    </a:prstGeom>
                  </pic:spPr>
                </pic:pic>
              </a:graphicData>
            </a:graphic>
          </wp:inline>
        </w:drawing>
      </w:r>
    </w:p>
    <w:p w14:paraId="6519B475"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8: </w:t>
      </w:r>
      <w:r w:rsidRPr="003D472A">
        <w:rPr>
          <w:rFonts w:ascii="Times New Roman" w:hAnsi="Times New Roman" w:cs="Times New Roman"/>
          <w:i/>
          <w:color w:val="212529"/>
          <w:sz w:val="24"/>
          <w:szCs w:val="24"/>
        </w:rPr>
        <w:t>Feature Importance Rankings (XGBoost Gain Metric): Physical terrain clearance (HAND) and antecedent catchment precipitation account for over 61% of total model predictive power.</w:t>
      </w:r>
    </w:p>
    <w:p w14:paraId="262CD182"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lastRenderedPageBreak/>
        <w:t>8.4 Confusion Matrices &amp; Error Breakdown</w:t>
      </w:r>
    </w:p>
    <w:p w14:paraId="206E3C60"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Figure 9 details the confusion matrices evaluated across model generations on the unseen-road test set (N=18). Crucially, XGBoost V4 achieves a 100.0% recall rate with exactly zero false negatives (TP=7, FN=0), cutting total classification errors from 6 down to 3.</w:t>
      </w:r>
    </w:p>
    <w:p w14:paraId="400EE1AD" w14:textId="77777777" w:rsidR="0094112E" w:rsidRPr="003D472A" w:rsidRDefault="0094112E">
      <w:pPr>
        <w:spacing w:before="160" w:after="40"/>
        <w:jc w:val="center"/>
        <w:rPr>
          <w:rFonts w:ascii="Times New Roman" w:hAnsi="Times New Roman" w:cs="Times New Roman"/>
          <w:sz w:val="24"/>
          <w:szCs w:val="24"/>
        </w:rPr>
      </w:pPr>
    </w:p>
    <w:p w14:paraId="15F48989"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1FF5433E" wp14:editId="1F217286">
            <wp:extent cx="5669280" cy="18554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usion_matrices.png"/>
                    <pic:cNvPicPr/>
                  </pic:nvPicPr>
                  <pic:blipFill>
                    <a:blip r:embed="rId14"/>
                    <a:stretch>
                      <a:fillRect/>
                    </a:stretch>
                  </pic:blipFill>
                  <pic:spPr>
                    <a:xfrm>
                      <a:off x="0" y="0"/>
                      <a:ext cx="5669280" cy="1855401"/>
                    </a:xfrm>
                    <a:prstGeom prst="rect">
                      <a:avLst/>
                    </a:prstGeom>
                  </pic:spPr>
                </pic:pic>
              </a:graphicData>
            </a:graphic>
          </wp:inline>
        </w:drawing>
      </w:r>
    </w:p>
    <w:p w14:paraId="614CFE85"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9: </w:t>
      </w:r>
      <w:r w:rsidRPr="003D472A">
        <w:rPr>
          <w:rFonts w:ascii="Times New Roman" w:hAnsi="Times New Roman" w:cs="Times New Roman"/>
          <w:i/>
          <w:color w:val="212529"/>
          <w:sz w:val="24"/>
          <w:szCs w:val="24"/>
        </w:rPr>
        <w:t>Confusion Matrices Comparison across Models on Unseen Corridors: Highlighting zero false negatives (100% recall) achieved by XGBoost V4.</w:t>
      </w:r>
    </w:p>
    <w:p w14:paraId="61CD2588" w14:textId="77777777" w:rsidR="0094112E" w:rsidRPr="003D472A" w:rsidRDefault="00000000">
      <w:pPr>
        <w:keepNext/>
        <w:spacing w:before="240" w:after="80"/>
        <w:rPr>
          <w:rFonts w:ascii="Times New Roman" w:hAnsi="Times New Roman" w:cs="Times New Roman"/>
          <w:sz w:val="24"/>
          <w:szCs w:val="24"/>
        </w:rPr>
      </w:pPr>
      <w:r w:rsidRPr="003D472A">
        <w:rPr>
          <w:rFonts w:ascii="Times New Roman" w:hAnsi="Times New Roman" w:cs="Times New Roman"/>
          <w:b/>
          <w:color w:val="2E4053"/>
          <w:sz w:val="24"/>
          <w:szCs w:val="24"/>
        </w:rPr>
        <w:t>8.5 Multi-Metric Cross-Generational Performance</w:t>
      </w:r>
    </w:p>
    <w:p w14:paraId="1625BDDB"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Figure 10 summarizes the multi-metric benchmark comparison across Accuracy, Precision, Recall, F1-Score, and ROC-AUC.</w:t>
      </w:r>
    </w:p>
    <w:p w14:paraId="40F1402B" w14:textId="77777777" w:rsidR="0094112E" w:rsidRPr="003D472A" w:rsidRDefault="0094112E">
      <w:pPr>
        <w:spacing w:before="160" w:after="40"/>
        <w:jc w:val="center"/>
        <w:rPr>
          <w:rFonts w:ascii="Times New Roman" w:hAnsi="Times New Roman" w:cs="Times New Roman"/>
          <w:sz w:val="24"/>
          <w:szCs w:val="24"/>
        </w:rPr>
      </w:pPr>
    </w:p>
    <w:p w14:paraId="023781A6" w14:textId="77777777" w:rsidR="0094112E" w:rsidRPr="003D472A" w:rsidRDefault="00000000">
      <w:pPr>
        <w:rPr>
          <w:rFonts w:ascii="Times New Roman" w:hAnsi="Times New Roman" w:cs="Times New Roman"/>
          <w:sz w:val="24"/>
          <w:szCs w:val="24"/>
        </w:rPr>
      </w:pPr>
      <w:r w:rsidRPr="003D472A">
        <w:rPr>
          <w:rFonts w:ascii="Times New Roman" w:hAnsi="Times New Roman" w:cs="Times New Roman"/>
          <w:noProof/>
          <w:sz w:val="24"/>
          <w:szCs w:val="24"/>
        </w:rPr>
        <w:drawing>
          <wp:inline distT="0" distB="0" distL="0" distR="0" wp14:anchorId="61333FB7" wp14:editId="062042CD">
            <wp:extent cx="5669280" cy="30680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metric_bars.png"/>
                    <pic:cNvPicPr/>
                  </pic:nvPicPr>
                  <pic:blipFill>
                    <a:blip r:embed="rId15"/>
                    <a:stretch>
                      <a:fillRect/>
                    </a:stretch>
                  </pic:blipFill>
                  <pic:spPr>
                    <a:xfrm>
                      <a:off x="0" y="0"/>
                      <a:ext cx="5669280" cy="3068081"/>
                    </a:xfrm>
                    <a:prstGeom prst="rect">
                      <a:avLst/>
                    </a:prstGeom>
                  </pic:spPr>
                </pic:pic>
              </a:graphicData>
            </a:graphic>
          </wp:inline>
        </w:drawing>
      </w:r>
    </w:p>
    <w:p w14:paraId="2675707C" w14:textId="77777777" w:rsidR="0094112E" w:rsidRPr="003D472A" w:rsidRDefault="00000000">
      <w:pPr>
        <w:spacing w:before="40" w:after="240"/>
        <w:jc w:val="center"/>
        <w:rPr>
          <w:rFonts w:ascii="Times New Roman" w:hAnsi="Times New Roman" w:cs="Times New Roman"/>
          <w:sz w:val="24"/>
          <w:szCs w:val="24"/>
        </w:rPr>
      </w:pPr>
      <w:r w:rsidRPr="003D472A">
        <w:rPr>
          <w:rFonts w:ascii="Times New Roman" w:hAnsi="Times New Roman" w:cs="Times New Roman"/>
          <w:b/>
          <w:color w:val="1F4E79"/>
          <w:sz w:val="24"/>
          <w:szCs w:val="24"/>
        </w:rPr>
        <w:t xml:space="preserve">Figure 10: </w:t>
      </w:r>
      <w:r w:rsidRPr="003D472A">
        <w:rPr>
          <w:rFonts w:ascii="Times New Roman" w:hAnsi="Times New Roman" w:cs="Times New Roman"/>
          <w:i/>
          <w:color w:val="212529"/>
          <w:sz w:val="24"/>
          <w:szCs w:val="24"/>
        </w:rPr>
        <w:t>Cross-Generational Performance Benchmarks across Accuracy, Precision, Safety-Critical Recall, F1-Score, and ROC-AUC on the Primary Unseen-Road Test Set.</w:t>
      </w:r>
    </w:p>
    <w:p w14:paraId="0268FADA"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t>9. CONCLUSION</w:t>
      </w:r>
    </w:p>
    <w:p w14:paraId="106C3159" w14:textId="77777777" w:rsidR="0094112E" w:rsidRPr="003D472A" w:rsidRDefault="00000000">
      <w:pPr>
        <w:spacing w:after="120"/>
        <w:rPr>
          <w:rFonts w:ascii="Times New Roman" w:hAnsi="Times New Roman" w:cs="Times New Roman"/>
          <w:sz w:val="24"/>
          <w:szCs w:val="24"/>
        </w:rPr>
      </w:pPr>
      <w:r w:rsidRPr="003D472A">
        <w:rPr>
          <w:rFonts w:ascii="Times New Roman" w:hAnsi="Times New Roman" w:cs="Times New Roman"/>
          <w:color w:val="212529"/>
          <w:sz w:val="24"/>
          <w:szCs w:val="24"/>
        </w:rPr>
        <w:t>This research demonstrated an end-to-end intelligent vehicle assistance and emergency routing system. By integrating YOLOv11 deep computer vision with a hydrologically-grounded XGBoost V4 classifier utilizing European Space Agency Copernicus GLO-30 HAND metrics, the framework eliminates spatial memorization and achieves 100.0% recall on unseen road corridors. Coupled with an inverse-distance A* routing engine featuring raised-cosine Hann window lateral detours, the architecture guarantees safe, real-time vehicular navigation through severe disaster events.</w:t>
      </w:r>
    </w:p>
    <w:p w14:paraId="21ADE6FF" w14:textId="77777777" w:rsidR="0094112E" w:rsidRPr="003D472A" w:rsidRDefault="00000000">
      <w:pPr>
        <w:keepNext/>
        <w:spacing w:before="360" w:after="120"/>
        <w:rPr>
          <w:rFonts w:ascii="Times New Roman" w:hAnsi="Times New Roman" w:cs="Times New Roman"/>
          <w:sz w:val="24"/>
          <w:szCs w:val="24"/>
        </w:rPr>
      </w:pPr>
      <w:r w:rsidRPr="003D472A">
        <w:rPr>
          <w:rFonts w:ascii="Times New Roman" w:hAnsi="Times New Roman" w:cs="Times New Roman"/>
          <w:b/>
          <w:color w:val="1F4E79"/>
          <w:sz w:val="24"/>
          <w:szCs w:val="24"/>
        </w:rPr>
        <w:lastRenderedPageBreak/>
        <w:t>10. REFERENCES</w:t>
      </w:r>
    </w:p>
    <w:p w14:paraId="27838FF1"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[1] S. Rahnemoonfar et al., "FloodNet: A high-resolution aerial imagery dataset for post-disaster damage assessment," IEEE TGRS, vol. 59, no. 10, pp. 8487–8500, 2021.</w:t>
      </w:r>
    </w:p>
    <w:p w14:paraId="7D35D914"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[2] D. Arya et al., "</w:t>
      </w:r>
      <w:proofErr w:type="gramStart"/>
      <w:r w:rsidRPr="003D472A">
        <w:rPr>
          <w:rFonts w:ascii="Times New Roman" w:hAnsi="Times New Roman" w:cs="Times New Roman"/>
          <w:color w:val="212529"/>
          <w:sz w:val="24"/>
          <w:szCs w:val="24"/>
        </w:rPr>
        <w:t>Global road</w:t>
      </w:r>
      <w:proofErr w:type="gramEnd"/>
      <w:r w:rsidRPr="003D472A">
        <w:rPr>
          <w:rFonts w:ascii="Times New Roman" w:hAnsi="Times New Roman" w:cs="Times New Roman"/>
          <w:color w:val="212529"/>
          <w:sz w:val="24"/>
          <w:szCs w:val="24"/>
        </w:rPr>
        <w:t xml:space="preserve"> damage detection: State-of-the-art solutions," IEEE T-ITS, vol. 24, no. 2, pp. 2415–2429, 2022.</w:t>
      </w:r>
    </w:p>
    <w:p w14:paraId="15D5CDE1"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[3] A. Shamsoshoara et al., "Aerial imagery dataset for wildfire detection and approaching fire front monitoring," IEEE Access, vol. 9, pp. 78334–78345, 2021.</w:t>
      </w:r>
    </w:p>
    <w:p w14:paraId="4647DCB9"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[4] T. Chen and C. Guestrin, "XGBoost: A scalable tree boosting system," in Proc. ACM SIGKDD, 2016, pp. 785–794.</w:t>
      </w:r>
    </w:p>
    <w:p w14:paraId="4DEB7096"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[5] G. Joffre et al., "Ultralytics YOLOv11: Real-time object detection," Ultralytics Tech. Rep., 2024.</w:t>
      </w:r>
    </w:p>
    <w:p w14:paraId="5C4AF9FD"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[6] C. D. Rennó et al., "HAND, a new terrain descriptor using SRTM-DEM," Remote Sens. Environ., vol. 112, no. 9, pp. 3469–3481, 2008.</w:t>
      </w:r>
    </w:p>
    <w:p w14:paraId="43655466"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[7] A. D. Nobre et al., "Height Above the Nearest Drainage reveals hidden water," HESS, vol. 15, no. 2, pp. 405–417, 2011.</w:t>
      </w:r>
    </w:p>
    <w:p w14:paraId="21639FB4"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[8] Central Water Commission, "IndoFloods Hydrological Network," Ministry of Jal Shakti, Government of India, 2023.</w:t>
      </w:r>
    </w:p>
    <w:p w14:paraId="05F27D48"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[9] European Space Agency, "Copernicus Global Digital Elevation Model (GLO-30)," ESA, 2021.</w:t>
      </w:r>
    </w:p>
    <w:p w14:paraId="42BCF22C" w14:textId="77777777" w:rsidR="0094112E" w:rsidRPr="003D472A" w:rsidRDefault="00000000">
      <w:pPr>
        <w:spacing w:after="80"/>
        <w:ind w:left="432" w:hanging="432"/>
        <w:rPr>
          <w:rFonts w:ascii="Times New Roman" w:hAnsi="Times New Roman" w:cs="Times New Roman"/>
          <w:sz w:val="24"/>
          <w:szCs w:val="24"/>
        </w:rPr>
      </w:pPr>
      <w:r w:rsidRPr="003D472A">
        <w:rPr>
          <w:rFonts w:ascii="Times New Roman" w:hAnsi="Times New Roman" w:cs="Times New Roman"/>
          <w:color w:val="212529"/>
          <w:sz w:val="24"/>
          <w:szCs w:val="24"/>
        </w:rPr>
        <w:t xml:space="preserve">[10] P. E. Hart, N. J. Nilsson, and B. Raphael, "A formal basis for the heuristic determination of minimum </w:t>
      </w:r>
      <w:r w:rsidRPr="003D472A">
        <w:rPr>
          <w:rFonts w:ascii="Times New Roman" w:hAnsi="Times New Roman" w:cs="Times New Roman"/>
          <w:color w:val="212529"/>
          <w:sz w:val="24"/>
          <w:szCs w:val="24"/>
        </w:rPr>
        <w:t>cost paths," IEEE SSC, vol. 4, no. 2, pp. 100–107, 1968.</w:t>
      </w:r>
    </w:p>
    <w:sectPr w:rsidR="0094112E" w:rsidRPr="003D472A" w:rsidSect="003D472A">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874443">
    <w:abstractNumId w:val="8"/>
  </w:num>
  <w:num w:numId="2" w16cid:durableId="998659274">
    <w:abstractNumId w:val="6"/>
  </w:num>
  <w:num w:numId="3" w16cid:durableId="2051487">
    <w:abstractNumId w:val="5"/>
  </w:num>
  <w:num w:numId="4" w16cid:durableId="306084494">
    <w:abstractNumId w:val="4"/>
  </w:num>
  <w:num w:numId="5" w16cid:durableId="1525436447">
    <w:abstractNumId w:val="7"/>
  </w:num>
  <w:num w:numId="6" w16cid:durableId="2135564502">
    <w:abstractNumId w:val="3"/>
  </w:num>
  <w:num w:numId="7" w16cid:durableId="1023093490">
    <w:abstractNumId w:val="2"/>
  </w:num>
  <w:num w:numId="8" w16cid:durableId="1294362342">
    <w:abstractNumId w:val="1"/>
  </w:num>
  <w:num w:numId="9" w16cid:durableId="150242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4A2"/>
    <w:rsid w:val="0029639D"/>
    <w:rsid w:val="00326F90"/>
    <w:rsid w:val="003D472A"/>
    <w:rsid w:val="009411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2E5C5"/>
  <w14:defaultImageDpi w14:val="300"/>
  <w15:docId w15:val="{CE44C68D-972D-436A-8496-B2E8D1A61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2956</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Nagaraju Mudhiraj</cp:lastModifiedBy>
  <cp:revision>2</cp:revision>
  <dcterms:created xsi:type="dcterms:W3CDTF">2013-12-23T23:15:00Z</dcterms:created>
  <dcterms:modified xsi:type="dcterms:W3CDTF">2026-10-05T05:14:00Z</dcterms:modified>
  <cp:category/>
</cp:coreProperties>
</file>