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spacing w:before="240" w:after="240"/>
        <w:jc w:val="center"/>
      </w:pPr>
      <w:r>
        <w:rPr>
          <w:rFonts w:ascii="Times New Roman" w:hAnsi="Times New Roman"/>
          <w:b/>
          <w:sz w:val="44"/>
        </w:rPr>
        <w:t>Intelligent Vehicle Assistance and Resilient Navigation During Disaster Events: A Multi-Modal Perception, Hydrologically-Grounded Risk Modeling, and Dynamic A* Routing Architecture</w:t>
      </w:r>
    </w:p>
    <w:tbl>
      <w:tblPr>
        <w:tblW w:type="auto" w:w="0"/>
        <w:jc w:val="center"/>
        <w:tblLook w:firstColumn="1" w:firstRow="1" w:lastColumn="0" w:lastRow="0" w:noHBand="0" w:noVBand="1" w:val="04A0"/>
      </w:tblPr>
      <w:tblGrid>
        <w:gridCol w:w="3373"/>
        <w:gridCol w:w="3373"/>
        <w:gridCol w:w="3373"/>
      </w:tblGrid>
      <w:tr>
        <w:tc>
          <w:tcPr>
            <w:tcW w:type="dxa" w:w="3373"/>
            <w:tcMar>
              <w:top w:w="60" w:type="dxa"/>
              <w:bottom w:w="60" w:type="dxa"/>
              <w:left w:w="80" w:type="dxa"/>
              <w:right w:w="80" w:type="dxa"/>
            </w:tcMar>
            <w:tcBorders>
              <w:top w:val="none"/>
              <w:left w:val="none"/>
              <w:bottom w:val="none"/>
              <w:right w:val="none"/>
            </w:tcBorders>
          </w:tcPr>
          <w:p>
            <w:pPr>
              <w:spacing w:line="252" w:lineRule="auto"/>
              <w:jc w:val="center"/>
            </w:pPr>
            <w:r>
              <w:rPr>
                <w:rFonts w:ascii="Times New Roman" w:hAnsi="Times New Roman"/>
                <w:b/>
                <w:sz w:val="20"/>
              </w:rPr>
              <w:t>Research Team Lead</w:t>
              <w:br/>
            </w:r>
            <w:r>
              <w:rPr>
                <w:rFonts w:ascii="Times New Roman" w:hAnsi="Times New Roman"/>
                <w:i/>
                <w:sz w:val="17"/>
              </w:rPr>
              <w:t>Dept. of Computer Science &amp; Eng.</w:t>
              <w:br/>
              <w:t>Autonomous Systems Division</w:t>
              <w:br/>
              <w:t>Hyderabad, India</w:t>
              <w:br/>
              <w:t>lead.adas@research.org</w:t>
            </w:r>
          </w:p>
        </w:tc>
        <w:tc>
          <w:tcPr>
            <w:tcW w:type="dxa" w:w="3373"/>
            <w:tcMar>
              <w:top w:w="60" w:type="dxa"/>
              <w:bottom w:w="60" w:type="dxa"/>
              <w:left w:w="80" w:type="dxa"/>
              <w:right w:w="80" w:type="dxa"/>
            </w:tcMar>
            <w:tcBorders>
              <w:top w:val="none"/>
              <w:left w:val="none"/>
              <w:bottom w:val="none"/>
              <w:right w:val="none"/>
            </w:tcBorders>
          </w:tcPr>
          <w:p>
            <w:pPr>
              <w:spacing w:line="252" w:lineRule="auto"/>
              <w:jc w:val="center"/>
            </w:pPr>
            <w:r>
              <w:rPr>
                <w:rFonts w:ascii="Times New Roman" w:hAnsi="Times New Roman"/>
                <w:b/>
                <w:sz w:val="20"/>
              </w:rPr>
              <w:t>AI Perception Specialist</w:t>
              <w:br/>
            </w:r>
            <w:r>
              <w:rPr>
                <w:rFonts w:ascii="Times New Roman" w:hAnsi="Times New Roman"/>
                <w:i/>
                <w:sz w:val="17"/>
              </w:rPr>
              <w:t>Center for Intelligent Transport</w:t>
              <w:br/>
              <w:t>Deep Vision &amp; Edge AI Lab</w:t>
              <w:br/>
              <w:t>Hyderabad, India</w:t>
              <w:br/>
              <w:t>vision.ai@research.org</w:t>
            </w:r>
          </w:p>
        </w:tc>
        <w:tc>
          <w:tcPr>
            <w:tcW w:type="dxa" w:w="3373"/>
            <w:tcMar>
              <w:top w:w="60" w:type="dxa"/>
              <w:bottom w:w="60" w:type="dxa"/>
              <w:left w:w="80" w:type="dxa"/>
              <w:right w:w="80" w:type="dxa"/>
            </w:tcMar>
            <w:tcBorders>
              <w:top w:val="none"/>
              <w:left w:val="none"/>
              <w:bottom w:val="none"/>
              <w:right w:val="none"/>
            </w:tcBorders>
          </w:tcPr>
          <w:p>
            <w:pPr>
              <w:spacing w:line="252" w:lineRule="auto"/>
              <w:jc w:val="center"/>
            </w:pPr>
            <w:r>
              <w:rPr>
                <w:rFonts w:ascii="Times New Roman" w:hAnsi="Times New Roman"/>
                <w:b/>
                <w:sz w:val="20"/>
              </w:rPr>
              <w:t>Hydrological Informatics Lead</w:t>
              <w:br/>
            </w:r>
            <w:r>
              <w:rPr>
                <w:rFonts w:ascii="Times New Roman" w:hAnsi="Times New Roman"/>
                <w:i/>
                <w:sz w:val="17"/>
              </w:rPr>
              <w:t>Disaster Mitigation Institute</w:t>
              <w:br/>
              <w:t>Spatial Hydrology Research Cell</w:t>
              <w:br/>
              <w:t>Hyderabad, India</w:t>
              <w:br/>
              <w:t>hydro.risk@research.org</w:t>
            </w:r>
          </w:p>
        </w:tc>
      </w:tr>
    </w:tbl>
    <w:p>
      <w:pPr>
        <w:sectPr>
          <w:type w:val="continuous"/>
          <w:pgSz w:w="595.30pt" w:h="841.90pt" w:code="9"/>
          <w:pgMar w:top="54pt" w:right="45.35pt" w:bottom="72pt" w:left="45.35pt" w:header="36pt" w:footer="36pt" w:gutter="0pt"/>
          <w:cols w:num="2" w:space="18pt"/>
          <w:docGrid w:linePitch="360"/>
        </w:sectPr>
      </w:pPr>
    </w:p>
    <w:p>
      <w:pPr>
        <w:spacing w:before="80" w:after="80" w:line="252" w:lineRule="auto"/>
        <w:jc w:val="both"/>
      </w:pPr>
      <w:r>
        <w:rPr>
          <w:rFonts w:ascii="Times New Roman" w:hAnsi="Times New Roman"/>
          <w:b/>
          <w:i/>
          <w:sz w:val="18"/>
        </w:rPr>
        <w:t>Abstract—</w:t>
      </w:r>
      <w:r>
        <w:rPr>
          <w:rFonts w:ascii="Times New Roman" w:hAnsi="Times New Roman"/>
          <w:b/>
          <w:sz w:val="18"/>
        </w:rPr>
        <w:t>Vehicular mobility during extreme natural disasters (pluvial/fluvial flash flooding, encroaching wildfires, seismic landslides, and structural pavement destruction) presents acute life-safety hazards. Conventional navigation engines, designed for nominal traffic optimization, lack real-time sensory perception of physical hazards, hydrological inundation dynamics, and multi-sensor spatial risk fusion. This paper presents an end-to-end intelligent vehicle assistance and emergency routing system that integrates edge-based deep computer vision, hydrologically-grounded machine learning, and disaster-aware dynamic graph pathfinding. The visual perception subsystem utilizes Ultralytics YOLOv11s to perform real-time bounding-box hazard detection across four critical disaster classes (Flood, Fire, Landslide, Road Damage). Concurrently, a tree-boosted environmental risk engine (XGBoost V4) predicts localized road-corridor flood exposure using an 8-variable feature contract featuring European Space Agency Copernicus GLO-30 Height Above Nearest Drainage (HAND) and multi-scale antecedent precipitation metrics. To guarantee scientific integrity and eliminate geographical memorization, the model was benchmarked on 68 rigorously audited historical flood observations from the Central Water Commission (CWC) and Open-Meteo ERA5 archives across four river basins. On unseen road segments with 0.0% geographical overlap, the proposed architecture achieves 83.33% accuracy, 100.0% recall (zero false negatives), and a 1.0000 ROC-AUC, outperforming prior proxy-dependent models. A central Risk Engine orchestrates multi-modal sensor fusion, outputting a composite risk score (0–100) and severity classifications that dynamically modulate a modified A* pathfinding algorithm. The routing engine applies inverse-distance hazard proximity decay penalties and produces tri-route safety alternatives (Optimal Safe, Alternative Detour, and Emergency Evacuation Corridor) with sub-25ms computational latency. The entire framework is deployed as a resilient FastAPI microservice backed by MongoDB and integrated into a real-time React 19 automotive Heads-Up Display (HUD) with dark glassmorphic styling, SOS dispatch telematics, and role-based administrative incident command. Experimental validations demonstrate robust hazard evasion, zero missed flood hazards on unseen corridors, and resilient failover under degraded connectivity.</w:t>
      </w:r>
    </w:p>
    <w:p>
      <w:pPr>
        <w:spacing w:before="40" w:after="160" w:line="252" w:lineRule="auto"/>
        <w:jc w:val="both"/>
      </w:pPr>
      <w:r>
        <w:rPr>
          <w:rFonts w:ascii="Times New Roman" w:hAnsi="Times New Roman"/>
          <w:b/>
          <w:i/>
          <w:sz w:val="18"/>
        </w:rPr>
        <w:t>Keywords—</w:t>
      </w:r>
      <w:r>
        <w:rPr>
          <w:rFonts w:ascii="Times New Roman" w:hAnsi="Times New Roman"/>
          <w:i/>
          <w:sz w:val="18"/>
        </w:rPr>
        <w:t>Intelligent Transportation Systems (ITS), Advanced Driver Assistance Systems (ADAS), Natural Disaster Navigation, Computer Vision, YOLOv11s, Height Above Nearest Drainage (HAND), XGBoost, Environmental Sensor Fusion, Modified A* Search, Emergency Telematics.</w:t>
      </w:r>
    </w:p>
    <w:p>
      <w:pPr>
        <w:keepNext/>
        <w:spacing w:before="240" w:after="80"/>
        <w:jc w:val="center"/>
      </w:pPr>
      <w:r>
        <w:rPr>
          <w:rFonts w:ascii="Times New Roman" w:hAnsi="Times New Roman"/>
          <w:b/>
          <w:sz w:val="20"/>
        </w:rPr>
        <w:t>I.   INTRODUCTION</w:t>
      </w:r>
    </w:p>
    <w:p>
      <w:pPr>
        <w:spacing w:before="0" w:after="70" w:line="252" w:lineRule="auto"/>
        <w:ind w:firstLine="202"/>
        <w:jc w:val="both"/>
      </w:pPr>
      <w:r>
        <w:rPr>
          <w:rFonts w:ascii="Times New Roman" w:hAnsi="Times New Roman"/>
          <w:sz w:val="19"/>
        </w:rPr>
        <w:t>Natural catastrophes—including catastrophic pluvial and fluvial flash floods, rapid wildfire propagation, structural landslides, and severe pavement subsidence—are increasing in frequency and severity globally due to accelerating climatic volatility. In the immediate hours following a disaster event, surface transportation infrastructure represents both the primary lifeline for civilian evacuation and emergency responder deployment, as well as the most dangerous point of failure. Vehicles attempting to navigate submerged roads or debris-strewn corridors frequently encounter hydroplaning, engine water ingestion, thermal radiation, structural collapses, or sudden dead-ends caused by impassable blockages.</w:t>
      </w:r>
    </w:p>
    <w:p>
      <w:pPr>
        <w:spacing w:before="0" w:after="70" w:line="252" w:lineRule="auto"/>
        <w:ind w:firstLine="202"/>
        <w:jc w:val="both"/>
      </w:pPr>
      <w:r>
        <w:rPr>
          <w:rFonts w:ascii="Times New Roman" w:hAnsi="Times New Roman"/>
          <w:sz w:val="19"/>
        </w:rPr>
        <w:t>Conventional commercial routing platforms (such as Google Maps, Waze, and TomTom) are fundamentally architected around statistical traffic congestion delays derived from mobile probe telemetry. While effective during standard commuting conditions, these systems fail catastrophically during disasters for four fundamental reasons:</w:t>
      </w:r>
    </w:p>
    <w:p>
      <w:pPr>
        <w:spacing w:before="0" w:after="70" w:line="252" w:lineRule="auto"/>
        <w:ind w:firstLine="202"/>
        <w:jc w:val="both"/>
      </w:pPr>
      <w:r>
        <w:rPr>
          <w:rFonts w:ascii="Times New Roman" w:hAnsi="Times New Roman"/>
          <w:sz w:val="19"/>
        </w:rPr>
        <w:t>(1) Absence of Physical Hazard Semantics: Nominal systems interpret a completely submerged road as a 'zero-traffic / high-speed' corridor, leading civilian drivers directly into life-threatening flood zones.</w:t>
      </w:r>
    </w:p>
    <w:p>
      <w:pPr>
        <w:spacing w:before="0" w:after="70" w:line="252" w:lineRule="auto"/>
        <w:ind w:firstLine="202"/>
        <w:jc w:val="both"/>
      </w:pPr>
      <w:r>
        <w:rPr>
          <w:rFonts w:ascii="Times New Roman" w:hAnsi="Times New Roman"/>
          <w:sz w:val="19"/>
        </w:rPr>
        <w:t>(2) Latency of Crowd-Sourced Incident Reports: Crowd-sourced hazard reporting requires human intervention and mobile connectivity, which are frequently severed during extreme weather events, yielding stale or missing warnings.</w:t>
      </w:r>
    </w:p>
    <w:p>
      <w:pPr>
        <w:spacing w:before="0" w:after="70" w:line="252" w:lineRule="auto"/>
        <w:ind w:firstLine="202"/>
        <w:jc w:val="both"/>
      </w:pPr>
      <w:r>
        <w:rPr>
          <w:rFonts w:ascii="Times New Roman" w:hAnsi="Times New Roman"/>
          <w:sz w:val="19"/>
        </w:rPr>
        <w:t>(3) Disregard of Hydrological Basin Dynamics: Flooding is governed by upstream catchment accumulation, terrain topography, and river stage progression rather than localized instant precipitation alone. Standard platforms possess zero awareness of hydrological connectivity.</w:t>
      </w:r>
    </w:p>
    <w:p>
      <w:pPr>
        <w:spacing w:before="0" w:after="70" w:line="252" w:lineRule="auto"/>
        <w:ind w:firstLine="202"/>
        <w:jc w:val="both"/>
      </w:pPr>
      <w:r>
        <w:rPr>
          <w:rFonts w:ascii="Times New Roman" w:hAnsi="Times New Roman"/>
          <w:sz w:val="19"/>
        </w:rPr>
        <w:t>(4) Lack of Sensor-Informed Autonomous Evasion: Existing in-vehicle telematics fail to fuse onboard optical camera perception with regional environmental forecasting to make autonomous, real-time rerouting decisions.</w:t>
      </w:r>
    </w:p>
    <w:p>
      <w:pPr>
        <w:spacing w:before="0" w:after="70" w:line="252" w:lineRule="auto"/>
        <w:ind w:firstLine="202"/>
        <w:jc w:val="both"/>
      </w:pPr>
      <w:r>
        <w:rPr>
          <w:rFonts w:ascii="Times New Roman" w:hAnsi="Times New Roman"/>
          <w:sz w:val="19"/>
        </w:rPr>
        <w:t>To resolve these challenges, this study presents the design, mathematical formulation, empirical benchmarking, and full-stack software implementation of the Intelligent Vehicle Assistance During Disasters (IVADD) system.</w:t>
      </w:r>
    </w:p>
    <w:p>
      <w:pPr>
        <w:keepNext/>
        <w:spacing w:before="240" w:after="80"/>
        <w:jc w:val="center"/>
      </w:pPr>
      <w:r>
        <w:rPr>
          <w:rFonts w:ascii="Times New Roman" w:hAnsi="Times New Roman"/>
          <w:b/>
          <w:sz w:val="20"/>
        </w:rPr>
        <w:t>II.   RELATED WORK &amp; LITERATURE REVIEW</w:t>
      </w:r>
    </w:p>
    <w:p>
      <w:pPr>
        <w:keepNext/>
        <w:spacing w:before="160" w:after="60"/>
        <w:jc w:val="left"/>
      </w:pPr>
      <w:r>
        <w:rPr>
          <w:rFonts w:ascii="Times New Roman" w:hAnsi="Times New Roman"/>
          <w:b/>
          <w:i/>
          <w:sz w:val="20"/>
        </w:rPr>
        <w:t>A.   Computer Vision for Damage Assessment</w:t>
      </w:r>
    </w:p>
    <w:p>
      <w:pPr>
        <w:spacing w:before="0" w:after="70" w:line="252" w:lineRule="auto"/>
        <w:ind w:firstLine="202"/>
        <w:jc w:val="both"/>
      </w:pPr>
      <w:r>
        <w:rPr>
          <w:rFonts w:ascii="Times New Roman" w:hAnsi="Times New Roman"/>
          <w:sz w:val="19"/>
        </w:rPr>
        <w:t>Over the past decade, convolutional neural networks (CNNs) and vision transformers have revolutionized remote sensing and road inspection. The FloodNet benchmark dataset [1] introduced high-resolution unmanned aerial vehicle (UAV) imagery captured after Hurricane Harvey, establishing a standard for segmenting flooded roads, submerged infrastructure, and rescue navigation corridors. Concurrently, the Road Damage Detection 2022 (RDD2022) initiative [2] compiled multi-national smartphone camera datasets annotating longitudinal cracks, transverse cracks, alligator cracking, and severe potholes across Japan, India, the Czech Republic, and Norway. For thermal and wildfire reconnaissance, the FLAME dataset [3] provided thermal and optical aerial imagery of active fire fronts and smoke plumes. While these specialized datasets advanced domain-specific visual detection, previous works have operated primarily in offline forensic analysis rather than real-time vehicle guidance.</w:t>
      </w:r>
    </w:p>
    <w:p>
      <w:pPr>
        <w:keepNext/>
        <w:spacing w:before="160" w:after="60"/>
        <w:jc w:val="left"/>
      </w:pPr>
      <w:r>
        <w:rPr>
          <w:rFonts w:ascii="Times New Roman" w:hAnsi="Times New Roman"/>
          <w:b/>
          <w:i/>
          <w:sz w:val="20"/>
        </w:rPr>
        <w:t>B.   Hydrological Flood Modeling &amp; HAND</w:t>
      </w:r>
    </w:p>
    <w:p>
      <w:pPr>
        <w:spacing w:before="0" w:after="70" w:line="252" w:lineRule="auto"/>
        <w:ind w:firstLine="202"/>
        <w:jc w:val="both"/>
      </w:pPr>
      <w:r>
        <w:rPr>
          <w:rFonts w:ascii="Times New Roman" w:hAnsi="Times New Roman"/>
          <w:sz w:val="19"/>
        </w:rPr>
        <w:t>Fluvial flood risk assessment has historically relied on 1D/2D hydrodynamic numerical solvers such as HEC-RAS or LISFLOOD-FP. While physically rigorous, hydrodynamic solvers require extensive bathymetric calibration, high computational overhead, and runtime latencies measured in hours, making them unsuitable for in-vehicle dynamic navigation. In contrast, Height Above Nearest Drainage (HAND), pioneered by Rennó et al. [6] and Nobre et al. [7], normalizes digital elevation models (DEMs) by computing the local relative vertical distance between any terrain coordinate and the drainage stream network to which it hydrologically drains. By decoupling terrain elevation from regional sea-level datums, HAND provides a computationally lightweight, static proxy for gravitational inundation clearance, serving as a physical foundation for machine learning classifiers.</w:t>
      </w:r>
    </w:p>
    <w:p>
      <w:pPr>
        <w:keepNext/>
        <w:spacing w:before="240" w:after="80"/>
        <w:jc w:val="center"/>
      </w:pPr>
      <w:r>
        <w:rPr>
          <w:rFonts w:ascii="Times New Roman" w:hAnsi="Times New Roman"/>
          <w:b/>
          <w:sz w:val="20"/>
        </w:rPr>
        <w:t>III.   SYSTEM ARCHITECTURE &amp; INTEGRATED FRAMEWORK</w:t>
      </w:r>
    </w:p>
    <w:p>
      <w:pPr>
        <w:spacing w:before="0" w:after="70" w:line="252" w:lineRule="auto"/>
        <w:ind w:firstLine="202"/>
        <w:jc w:val="both"/>
      </w:pPr>
      <w:r>
        <w:rPr>
          <w:rFonts w:ascii="Times New Roman" w:hAnsi="Times New Roman"/>
          <w:sz w:val="19"/>
        </w:rPr>
        <w:t>The IVADD system is architected as a modular, distributed, multi-tiered framework designed for high-availability vehicular and incident command operations. Fig. 1 illustrates the end-to-end operational workflow spanning field telemetry, AI perception, database persistence, and user interfaces.</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1709715"/>
            <wp:docPr id="1" name="Picture 1"/>
            <wp:cNvGraphicFramePr>
              <a:graphicFrameLocks noChangeAspect="1"/>
            </wp:cNvGraphicFramePr>
            <a:graphic>
              <a:graphicData uri="http://schemas.openxmlformats.org/drawingml/2006/picture">
                <pic:pic>
                  <pic:nvPicPr>
                    <pic:cNvPr id="0" name="adas_system_architecture.jpg"/>
                    <pic:cNvPicPr/>
                  </pic:nvPicPr>
                  <pic:blipFill>
                    <a:blip r:embed="rId13"/>
                    <a:stretch>
                      <a:fillRect/>
                    </a:stretch>
                  </pic:blipFill>
                  <pic:spPr>
                    <a:xfrm>
                      <a:off x="0" y="0"/>
                      <a:ext cx="3063240" cy="1709715"/>
                    </a:xfrm>
                    <a:prstGeom prst="rect"/>
                  </pic:spPr>
                </pic:pic>
              </a:graphicData>
            </a:graphic>
          </wp:inline>
        </w:drawing>
      </w:r>
    </w:p>
    <w:p>
      <w:pPr>
        <w:spacing w:before="40" w:after="160" w:line="240" w:lineRule="auto"/>
        <w:jc w:val="both"/>
      </w:pPr>
      <w:r>
        <w:rPr>
          <w:rFonts w:ascii="Times New Roman" w:hAnsi="Times New Roman"/>
          <w:b/>
          <w:sz w:val="16"/>
        </w:rPr>
        <w:t xml:space="preserve">Fig. 1.  </w:t>
      </w:r>
      <w:r>
        <w:rPr>
          <w:rFonts w:ascii="Times New Roman" w:hAnsi="Times New Roman"/>
          <w:sz w:val="16"/>
        </w:rPr>
        <w:t>Comprehensive End-to-End System Architecture of the Intelligent Vehicle Assistance Platform, illustrating vehicular sensing, edge inference, backend persistence, and incident command orchestration.</w:t>
      </w:r>
    </w:p>
    <w:p>
      <w:pPr>
        <w:spacing w:before="0" w:after="70" w:line="252" w:lineRule="auto"/>
        <w:ind w:firstLine="202"/>
        <w:jc w:val="both"/>
      </w:pPr>
      <w:r>
        <w:rPr>
          <w:rFonts w:ascii="Times New Roman" w:hAnsi="Times New Roman"/>
          <w:sz w:val="19"/>
        </w:rPr>
        <w:t>The backend engine is developed in Python 3.12 utilizing the asynchronous FastAPI framework. Key structural components include non-blocking request pipelines, strict Pydantic schemas, and resilient MongoDB Atlas persistence with an automatic in-memory fallback mechanism (Fig. 2).</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1709715"/>
            <wp:docPr id="2" name="Picture 2"/>
            <wp:cNvGraphicFramePr>
              <a:graphicFrameLocks noChangeAspect="1"/>
            </wp:cNvGraphicFramePr>
            <a:graphic>
              <a:graphicData uri="http://schemas.openxmlformats.org/drawingml/2006/picture">
                <pic:pic>
                  <pic:nvPicPr>
                    <pic:cNvPr id="0" name="backend_core_architecture.jpg"/>
                    <pic:cNvPicPr/>
                  </pic:nvPicPr>
                  <pic:blipFill>
                    <a:blip r:embed="rId14"/>
                    <a:stretch>
                      <a:fillRect/>
                    </a:stretch>
                  </pic:blipFill>
                  <pic:spPr>
                    <a:xfrm>
                      <a:off x="0" y="0"/>
                      <a:ext cx="3063240" cy="1709715"/>
                    </a:xfrm>
                    <a:prstGeom prst="rect"/>
                  </pic:spPr>
                </pic:pic>
              </a:graphicData>
            </a:graphic>
          </wp:inline>
        </w:drawing>
      </w:r>
    </w:p>
    <w:p>
      <w:pPr>
        <w:spacing w:before="40" w:after="160" w:line="240" w:lineRule="auto"/>
        <w:jc w:val="both"/>
      </w:pPr>
      <w:r>
        <w:rPr>
          <w:rFonts w:ascii="Times New Roman" w:hAnsi="Times New Roman"/>
          <w:b/>
          <w:sz w:val="16"/>
        </w:rPr>
        <w:t xml:space="preserve">Fig. 2.  </w:t>
      </w:r>
      <w:r>
        <w:rPr>
          <w:rFonts w:ascii="Times New Roman" w:hAnsi="Times New Roman"/>
          <w:sz w:val="16"/>
        </w:rPr>
        <w:t>Detailed Backend Core Architecture depicting the API gateway, dual ML inference pipelines (YOLOv11s and XGBoost), centralized risk orchestration, and multi-tier database persistence layers.</w:t>
      </w:r>
    </w:p>
    <w:p>
      <w:pPr>
        <w:keepNext/>
        <w:spacing w:before="240" w:after="80"/>
        <w:jc w:val="center"/>
      </w:pPr>
      <w:r>
        <w:rPr>
          <w:rFonts w:ascii="Times New Roman" w:hAnsi="Times New Roman"/>
          <w:b/>
          <w:sz w:val="20"/>
        </w:rPr>
        <w:t>IV.   MULTI-MODAL COMPUTER VISION PERCEPTION (YOLOV11S)</w:t>
      </w:r>
    </w:p>
    <w:p>
      <w:pPr>
        <w:spacing w:before="0" w:after="70" w:line="252" w:lineRule="auto"/>
        <w:ind w:firstLine="202"/>
        <w:jc w:val="both"/>
      </w:pPr>
      <w:r>
        <w:rPr>
          <w:rFonts w:ascii="Times New Roman" w:hAnsi="Times New Roman"/>
          <w:sz w:val="19"/>
        </w:rPr>
        <w:t>The optical perception subsystem processes RGB video frames captured by forward-facing vehicle dashcams or aerial reconnaissance drones. We deploy Ultralytics YOLOv11s [5], which incorporates an enhanced C3k2 feature extractor, Spatial Pyramid Pooling - Fast (SPPF), and an attention-guided Path Aggregation Network (PAN).</w:t>
      </w:r>
    </w:p>
    <w:p>
      <w:pPr>
        <w:keepNext/>
        <w:spacing w:before="160" w:after="60"/>
        <w:jc w:val="left"/>
      </w:pPr>
      <w:r>
        <w:rPr>
          <w:rFonts w:ascii="Times New Roman" w:hAnsi="Times New Roman"/>
          <w:b/>
          <w:i/>
          <w:sz w:val="20"/>
        </w:rPr>
        <w:t>A.   Why We Shifted from YOLOv11n to YOLOv11s</w:t>
      </w:r>
    </w:p>
    <w:p>
      <w:pPr>
        <w:spacing w:before="0" w:after="70" w:line="252" w:lineRule="auto"/>
        <w:ind w:firstLine="202"/>
        <w:jc w:val="both"/>
      </w:pPr>
      <w:r>
        <w:rPr>
          <w:rFonts w:ascii="Times New Roman" w:hAnsi="Times New Roman"/>
          <w:sz w:val="19"/>
        </w:rPr>
        <w:t>While the Nano variant (YOLOv11n, 2.6M parameters) offered marginal latency advantages on microcontrollers, empirical testing revealed severe detection dropouts for small hazard profiles—specifically potholes, transverse fractures, and distant flood boundaries. Furthermore, under adverse disaster weather (heavy precipitation, lens water droplets, and smoke obscuration), YOLOv11n suffered a high false negative rate. In contrast, YOLOv11s (9.4M parameters, ~3.5× capacity) achieved superior feature representation and higher confidence margins (+18.4% mAP@0.5) while maintaining an inference latency of ~30ms, comfortably satisfying the 30 FPS real-time vehicular requirement.</w:t>
      </w:r>
    </w:p>
    <w:p>
      <w:pPr>
        <w:keepNext/>
        <w:spacing w:before="160" w:after="60"/>
        <w:jc w:val="left"/>
      </w:pPr>
      <w:r>
        <w:rPr>
          <w:rFonts w:ascii="Times New Roman" w:hAnsi="Times New Roman"/>
          <w:b/>
          <w:i/>
          <w:sz w:val="20"/>
        </w:rPr>
        <w:t>B.   Mathematical Formulation of Multi-Task Loss</w:t>
      </w:r>
    </w:p>
    <w:p>
      <w:pPr>
        <w:spacing w:before="0" w:after="70" w:line="252" w:lineRule="auto"/>
        <w:ind w:firstLine="202"/>
        <w:jc w:val="both"/>
      </w:pPr>
      <w:r>
        <w:rPr>
          <w:rFonts w:ascii="Times New Roman" w:hAnsi="Times New Roman"/>
          <w:sz w:val="19"/>
        </w:rPr>
        <w:t>For an input frame, YOLOv11s predicts bounding boxes B_i = (x_c, y_c, w, h), objectness confidence, and class probabilities across four classes: Flood (k=0), Fire (k=1), Landslide (k=2), and Road Damage (k=3). The multi-task loss is formulated as:</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L_{YOLO} = lambda_{box} L_{CIoU}(B, B^*) + lambda_{cls} L_{BCE}(C, C^*) + lambda_{dfl} L_{DFL}(B, B^*)</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(1)</w:t>
            </w:r>
          </w:p>
        </w:tc>
      </w:tr>
    </w:tbl>
    <w:p>
      <w:pPr>
        <w:spacing w:after="40"/>
      </w:pPr>
    </w:p>
    <w:p>
      <w:pPr>
        <w:spacing w:before="0" w:after="70" w:line="252" w:lineRule="auto"/>
        <w:ind w:firstLine="202"/>
        <w:jc w:val="both"/>
      </w:pPr>
      <w:r>
        <w:rPr>
          <w:rFonts w:ascii="Times New Roman" w:hAnsi="Times New Roman"/>
          <w:sz w:val="19"/>
        </w:rPr>
        <w:t>where Complete Intersection over Union (CIoU) accounts for overlap area, centroid distance, and aspect ratio consistency. Fig. 3 shows the training loss convergence and precision/recall trajectories over 50 epochs.</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2297430"/>
            <wp:docPr id="3" name="Picture 3"/>
            <wp:cNvGraphicFramePr>
              <a:graphicFrameLocks noChangeAspect="1"/>
            </wp:cNvGraphicFramePr>
            <a:graphic>
              <a:graphicData uri="http://schemas.openxmlformats.org/drawingml/2006/picture">
                <pic:pic>
                  <pic:nvPicPr>
                    <pic:cNvPr id="0" name="fig3_yolo_training_curves.png"/>
                    <pic:cNvPicPr/>
                  </pic:nvPicPr>
                  <pic:blipFill>
                    <a:blip r:embed="rId15"/>
                    <a:stretch>
                      <a:fillRect/>
                    </a:stretch>
                  </pic:blipFill>
                  <pic:spPr>
                    <a:xfrm>
                      <a:off x="0" y="0"/>
                      <a:ext cx="3063240" cy="2297430"/>
                    </a:xfrm>
                    <a:prstGeom prst="rect"/>
                  </pic:spPr>
                </pic:pic>
              </a:graphicData>
            </a:graphic>
          </wp:inline>
        </w:drawing>
      </w:r>
    </w:p>
    <w:p>
      <w:pPr>
        <w:spacing w:before="40" w:after="160" w:line="240" w:lineRule="auto"/>
        <w:jc w:val="both"/>
      </w:pPr>
      <w:r>
        <w:rPr>
          <w:rFonts w:ascii="Times New Roman" w:hAnsi="Times New Roman"/>
          <w:b/>
          <w:sz w:val="16"/>
        </w:rPr>
        <w:t xml:space="preserve">Fig. 3.  </w:t>
      </w:r>
      <w:r>
        <w:rPr>
          <w:rFonts w:ascii="Times New Roman" w:hAnsi="Times New Roman"/>
          <w:sz w:val="16"/>
        </w:rPr>
        <w:t>YOLOv11s Deep Neural Network Training Dynamics across 50 Epochs: (a) Bounding Box Regression Loss, (b) Object Classification Loss, (c) Detection Precision &amp; Recall Dynamics, and (d) Mean Average Precision (mAP@0.5 and mAP@0.5:0.95).</w:t>
      </w:r>
    </w:p>
    <w:p>
      <w:pPr>
        <w:spacing w:before="0" w:after="70" w:line="252" w:lineRule="auto"/>
        <w:ind w:firstLine="202"/>
        <w:jc w:val="both"/>
      </w:pPr>
      <w:r>
        <w:rPr>
          <w:rFonts w:ascii="Times New Roman" w:hAnsi="Times New Roman"/>
          <w:sz w:val="19"/>
        </w:rPr>
        <w:t>Fig. 4 presents the normalized confusion matrix across the four disaster classes, demonstrating high class discrimination with minimal cross-class leakage.</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2297430"/>
            <wp:docPr id="4" name="Picture 4"/>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3063240" cy="2297430"/>
                    </a:xfrm>
                    <a:prstGeom prst="rect"/>
                  </pic:spPr>
                </pic:pic>
              </a:graphicData>
            </a:graphic>
          </wp:inline>
        </w:drawing>
      </w:r>
    </w:p>
    <w:p>
      <w:pPr>
        <w:spacing w:before="40" w:after="160" w:line="240" w:lineRule="auto"/>
        <w:jc w:val="both"/>
      </w:pPr>
      <w:r>
        <w:rPr>
          <w:rFonts w:ascii="Times New Roman" w:hAnsi="Times New Roman"/>
          <w:b/>
          <w:sz w:val="16"/>
        </w:rPr>
        <w:t xml:space="preserve">Fig. 4.  </w:t>
      </w:r>
      <w:r>
        <w:rPr>
          <w:rFonts w:ascii="Times New Roman" w:hAnsi="Times New Roman"/>
          <w:sz w:val="16"/>
        </w:rPr>
        <w:t>Normalized Multi-Class Confusion Matrix for YOLOv11s Hazard Classes (Flood, Fire, Landslide, Road Damage) on Held-Out Test Split.</w:t>
      </w:r>
    </w:p>
    <w:p>
      <w:pPr>
        <w:keepNext/>
        <w:spacing w:before="240" w:after="80"/>
        <w:jc w:val="center"/>
      </w:pPr>
      <w:r>
        <w:rPr>
          <w:rFonts w:ascii="Times New Roman" w:hAnsi="Times New Roman"/>
          <w:b/>
          <w:sz w:val="20"/>
        </w:rPr>
        <w:t>V.   HYDROLOGICALLY-GROUNDED RISK MODELING (XGBOOST V4)</w:t>
      </w:r>
    </w:p>
    <w:p>
      <w:pPr>
        <w:keepNext/>
        <w:spacing w:before="160" w:after="60"/>
        <w:jc w:val="left"/>
      </w:pPr>
      <w:r>
        <w:rPr>
          <w:rFonts w:ascii="Times New Roman" w:hAnsi="Times New Roman"/>
          <w:b/>
          <w:i/>
          <w:sz w:val="20"/>
        </w:rPr>
        <w:t>A.   Height Above Nearest Drainage (HAND) Formulation</w:t>
      </w:r>
    </w:p>
    <w:p>
      <w:pPr>
        <w:spacing w:before="0" w:after="70" w:line="252" w:lineRule="auto"/>
        <w:ind w:firstLine="202"/>
        <w:jc w:val="both"/>
      </w:pPr>
      <w:r>
        <w:rPr>
          <w:rFonts w:ascii="Times New Roman" w:hAnsi="Times New Roman"/>
          <w:sz w:val="19"/>
        </w:rPr>
        <w:t>To anticipate corridor flooding beyond optical camera line-of-sight, we utilize Height Above Nearest Drainage (HAND). Let x = (lat, lon) denote a road segment centroid. The drainage stream network is defined by flowlines D derived from hydraulic flow accumulation. HAND is defined as the vertical elevation difference between the road cell and the drainage channel cell to which it hydrologically discharges:</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HAND(x) = z(x) - z(x_{drainage})</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(2)</w:t>
            </w:r>
          </w:p>
        </w:tc>
      </w:tr>
    </w:tbl>
    <w:p>
      <w:pPr>
        <w:spacing w:after="40"/>
      </w:pPr>
    </w:p>
    <w:p>
      <w:pPr>
        <w:spacing w:before="0" w:after="70" w:line="252" w:lineRule="auto"/>
        <w:ind w:firstLine="202"/>
        <w:jc w:val="both"/>
      </w:pPr>
      <w:r>
        <w:rPr>
          <w:rFonts w:ascii="Times New Roman" w:hAnsi="Times New Roman"/>
          <w:sz w:val="19"/>
        </w:rPr>
        <w:t>where z(x) is surface elevation from Copernicus GLO-30 DEM [9] and x_{drainage} is the hydrologically connected channel thalweg coordinate. Fluvial overflow occurs when river flood stage h_{flood}(t) exceeds channel bank height:</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h_{flood}(t) &gt; HAND(x) ==&gt; Exposure(x, t) = 1</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(3)</w:t>
            </w:r>
          </w:p>
        </w:tc>
      </w:tr>
    </w:tbl>
    <w:p>
      <w:pPr>
        <w:spacing w:after="40"/>
      </w:pPr>
    </w:p>
    <w:p>
      <w:pPr>
        <w:keepNext/>
        <w:spacing w:before="160" w:after="60"/>
        <w:jc w:val="left"/>
      </w:pPr>
      <w:r>
        <w:rPr>
          <w:rFonts w:ascii="Times New Roman" w:hAnsi="Times New Roman"/>
          <w:b/>
          <w:i/>
          <w:sz w:val="20"/>
        </w:rPr>
        <w:t>B.   XGBoost Objective &amp; Second-Order Taylor Expansion</w:t>
      </w:r>
    </w:p>
    <w:p>
      <w:pPr>
        <w:spacing w:before="0" w:after="70" w:line="252" w:lineRule="auto"/>
        <w:ind w:firstLine="202"/>
        <w:jc w:val="both"/>
      </w:pPr>
      <w:r>
        <w:rPr>
          <w:rFonts w:ascii="Times New Roman" w:hAnsi="Times New Roman"/>
          <w:sz w:val="19"/>
        </w:rPr>
        <w:t>We deploy XGBoost [4] rather than deep neural networks for tabular risk prediction because tree ensembles naturally capture sharp physical flood thresholds without overfitting on curated historical datasets. The regularized objective function at boosting step t is formulated via second-order Taylor expansion:</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L^{(t)} approx sum_{i=1}^n [ g_i f_t(x_i) + 0.5 * h_i f_t^2(x_i) ] + gamma * T + 0.5 * lambda * sum_{j=1}^T w_j^2</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(4)</w:t>
            </w:r>
          </w:p>
        </w:tc>
      </w:tr>
    </w:tbl>
    <w:p>
      <w:pPr>
        <w:spacing w:after="40"/>
      </w:pPr>
    </w:p>
    <w:p>
      <w:pPr>
        <w:spacing w:before="0" w:after="70" w:line="252" w:lineRule="auto"/>
        <w:ind w:firstLine="202"/>
        <w:jc w:val="both"/>
      </w:pPr>
      <w:r>
        <w:rPr>
          <w:rFonts w:ascii="Times New Roman" w:hAnsi="Times New Roman"/>
          <w:sz w:val="19"/>
        </w:rPr>
        <w:t>where first and second order gradient statistics are given by:</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g_i = d/d y_hat [ l(y_i, y_hat^{(t-1)}) ],   h_i = d^2 / d y_hat^2 [ l(y_i, y_hat^{(t-1)}) ]</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(5)</w:t>
            </w:r>
          </w:p>
        </w:tc>
      </w:tr>
    </w:tbl>
    <w:p>
      <w:pPr>
        <w:spacing w:after="40"/>
      </w:pPr>
    </w:p>
    <w:p>
      <w:pPr>
        <w:spacing w:before="0" w:after="70" w:line="252" w:lineRule="auto"/>
        <w:ind w:firstLine="202"/>
        <w:jc w:val="both"/>
      </w:pPr>
      <w:r>
        <w:rPr>
          <w:rFonts w:ascii="Times New Roman" w:hAnsi="Times New Roman"/>
          <w:sz w:val="19"/>
        </w:rPr>
        <w:t>The optimal leaf weight w_j^* for leaf j and tree split gain are derived as:</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w_j^* = - ( sum_{i in I_j} g_i ) / ( sum_{i in I_j} h_i + lambda )</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(6)</w:t>
            </w:r>
          </w:p>
        </w:tc>
      </w:tr>
    </w:tbl>
    <w:p>
      <w:pPr>
        <w:spacing w:after="40"/>
      </w:pP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Gain = 0.5 * [ (sum_{I_L} g_i)^2 / (sum_{I_L} h_i + lambda) + (sum_{I_R} g_i)^2 / (sum_{I_R} h_i + lambda) - (sum_I g_i)^2 / (sum_I h_i + lambda) ] - gamma</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(7)</w:t>
            </w:r>
          </w:p>
        </w:tc>
      </w:tr>
    </w:tbl>
    <w:p>
      <w:pPr>
        <w:spacing w:after="40"/>
      </w:pPr>
    </w:p>
    <w:p>
      <w:pPr>
        <w:spacing w:before="0" w:after="70" w:line="252" w:lineRule="auto"/>
        <w:ind w:firstLine="202"/>
        <w:jc w:val="both"/>
      </w:pPr>
      <w:r>
        <w:rPr>
          <w:rFonts w:ascii="Times New Roman" w:hAnsi="Times New Roman"/>
          <w:sz w:val="19"/>
        </w:rPr>
        <w:t>To counteract historical flood class imbalance (2.78 : 1), balanced cross-entropy is enforced:</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l(y_i, p_i) = - [ (N_{neg} / N_{pos}) * y_i * ln(p_i) + (1 - y_i) * ln(1 - p_i) ]</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(8)</w:t>
            </w:r>
          </w:p>
        </w:tc>
      </w:tr>
    </w:tbl>
    <w:p>
      <w:pPr>
        <w:spacing w:after="40"/>
      </w:pPr>
    </w:p>
    <w:p>
      <w:pPr>
        <w:spacing w:before="160" w:after="40"/>
        <w:jc w:val="center"/>
      </w:pPr>
      <w:r>
        <w:rPr>
          <w:rFonts w:ascii="Times New Roman" w:hAnsi="Times New Roman"/>
          <w:b/>
          <w:sz w:val="16"/>
        </w:rPr>
        <w:t>TABLE I.   XGBOOST V4 FEATURE CONTRACT &amp; PROVENANCE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373"/>
        <w:gridCol w:w="3373"/>
        <w:gridCol w:w="3373"/>
      </w:tblGrid>
      <w:tr>
        <w:tc>
          <w:tcPr>
            <w:tcW w:type="dxa" w:w="3373"/>
            <w:shd w:fill="F2F2F2"/>
            <w:tcMar>
              <w:top w:w="60" w:type="dxa"/>
              <w:bottom w:w="60" w:type="dxa"/>
              <w:left w:w="60" w:type="dxa"/>
              <w:right w:w="60" w:type="dxa"/>
            </w:tcMar>
          </w:tcPr>
          <w:p>
            <w:pPr>
              <w:jc w:val="center"/>
            </w:pPr>
            <w:r>
              <w:rPr>
                <w:rFonts w:ascii="Times New Roman" w:hAnsi="Times New Roman"/>
                <w:b/>
                <w:sz w:val="15"/>
              </w:rPr>
              <w:t>Feature Variable</w:t>
            </w:r>
          </w:p>
        </w:tc>
        <w:tc>
          <w:tcPr>
            <w:tcW w:type="dxa" w:w="3373"/>
            <w:shd w:fill="F2F2F2"/>
            <w:tcMar>
              <w:top w:w="60" w:type="dxa"/>
              <w:bottom w:w="60" w:type="dxa"/>
              <w:left w:w="60" w:type="dxa"/>
              <w:right w:w="60" w:type="dxa"/>
            </w:tcMar>
          </w:tcPr>
          <w:p>
            <w:pPr>
              <w:jc w:val="center"/>
            </w:pPr>
            <w:r>
              <w:rPr>
                <w:rFonts w:ascii="Times New Roman" w:hAnsi="Times New Roman"/>
                <w:b/>
                <w:sz w:val="15"/>
              </w:rPr>
              <w:t>Category</w:t>
            </w:r>
          </w:p>
        </w:tc>
        <w:tc>
          <w:tcPr>
            <w:tcW w:type="dxa" w:w="3373"/>
            <w:shd w:fill="F2F2F2"/>
            <w:tcMar>
              <w:top w:w="60" w:type="dxa"/>
              <w:bottom w:w="60" w:type="dxa"/>
              <w:left w:w="60" w:type="dxa"/>
              <w:right w:w="60" w:type="dxa"/>
            </w:tcMar>
          </w:tcPr>
          <w:p>
            <w:pPr>
              <w:jc w:val="center"/>
            </w:pPr>
            <w:r>
              <w:rPr>
                <w:rFonts w:ascii="Times New Roman" w:hAnsi="Times New Roman"/>
                <w:b/>
                <w:sz w:val="15"/>
              </w:rPr>
              <w:t>Data Source</w:t>
            </w:r>
          </w:p>
        </w:tc>
      </w:tr>
      <w:tr>
        <w:tc>
          <w:tcPr>
            <w:tcW w:type="dxa" w:w="3373"/>
            <w:tcMar>
              <w:top w:w="40" w:type="dxa"/>
              <w:bottom w:w="40" w:type="dxa"/>
              <w:left w:w="60" w:type="dxa"/>
              <w:right w:w="60" w:type="dxa"/>
            </w:tcMar>
          </w:tcPr>
          <w:p>
            <w:pPr>
              <w:jc w:val="left"/>
            </w:pPr>
            <w:r>
              <w:rPr>
                <w:rFonts w:ascii="Times New Roman" w:hAnsi="Times New Roman"/>
                <w:b/>
                <w:sz w:val="15"/>
              </w:rPr>
              <w:t>rainfall_24h_mm</w:t>
            </w:r>
          </w:p>
        </w:tc>
        <w:tc>
          <w:tcPr>
            <w:tcW w:type="dxa" w:w="3373"/>
            <w:tcMar>
              <w:top w:w="40" w:type="dxa"/>
              <w:bottom w:w="40" w:type="dxa"/>
              <w:left w:w="60" w:type="dxa"/>
              <w:right w:w="60" w:type="dxa"/>
            </w:tcMar>
          </w:tcPr>
          <w:p>
            <w:pPr>
              <w:jc w:val="center"/>
            </w:pPr>
            <w:r>
              <w:rPr>
                <w:rFonts w:ascii="Times New Roman" w:hAnsi="Times New Roman"/>
                <w:sz w:val="15"/>
              </w:rPr>
              <w:t>Meteorology</w:t>
            </w:r>
          </w:p>
        </w:tc>
        <w:tc>
          <w:tcPr>
            <w:tcW w:type="dxa" w:w="3373"/>
            <w:tcMar>
              <w:top w:w="40" w:type="dxa"/>
              <w:bottom w:w="40" w:type="dxa"/>
              <w:left w:w="60" w:type="dxa"/>
              <w:right w:w="60" w:type="dxa"/>
            </w:tcMar>
          </w:tcPr>
          <w:p>
            <w:pPr>
              <w:jc w:val="left"/>
            </w:pPr>
            <w:r>
              <w:rPr>
                <w:rFonts w:ascii="Times New Roman" w:hAnsi="Times New Roman"/>
                <w:sz w:val="15"/>
              </w:rPr>
              <w:t>Open-Meteo ERA5 / IMD</w:t>
            </w:r>
          </w:p>
        </w:tc>
      </w:tr>
      <w:tr>
        <w:tc>
          <w:tcPr>
            <w:tcW w:type="dxa" w:w="3373"/>
            <w:tcMar>
              <w:top w:w="40" w:type="dxa"/>
              <w:bottom w:w="40" w:type="dxa"/>
              <w:left w:w="60" w:type="dxa"/>
              <w:right w:w="60" w:type="dxa"/>
            </w:tcMar>
          </w:tcPr>
          <w:p>
            <w:pPr>
              <w:jc w:val="left"/>
            </w:pPr>
            <w:r>
              <w:rPr>
                <w:rFonts w:ascii="Times New Roman" w:hAnsi="Times New Roman"/>
                <w:b/>
                <w:sz w:val="15"/>
              </w:rPr>
              <w:t>rainfall_72h_mm</w:t>
            </w:r>
          </w:p>
        </w:tc>
        <w:tc>
          <w:tcPr>
            <w:tcW w:type="dxa" w:w="3373"/>
            <w:tcMar>
              <w:top w:w="40" w:type="dxa"/>
              <w:bottom w:w="40" w:type="dxa"/>
              <w:left w:w="60" w:type="dxa"/>
              <w:right w:w="60" w:type="dxa"/>
            </w:tcMar>
          </w:tcPr>
          <w:p>
            <w:pPr>
              <w:jc w:val="center"/>
            </w:pPr>
            <w:r>
              <w:rPr>
                <w:rFonts w:ascii="Times New Roman" w:hAnsi="Times New Roman"/>
                <w:sz w:val="15"/>
              </w:rPr>
              <w:t>Meteorology</w:t>
            </w:r>
          </w:p>
        </w:tc>
        <w:tc>
          <w:tcPr>
            <w:tcW w:type="dxa" w:w="3373"/>
            <w:tcMar>
              <w:top w:w="40" w:type="dxa"/>
              <w:bottom w:w="40" w:type="dxa"/>
              <w:left w:w="60" w:type="dxa"/>
              <w:right w:w="60" w:type="dxa"/>
            </w:tcMar>
          </w:tcPr>
          <w:p>
            <w:pPr>
              <w:jc w:val="left"/>
            </w:pPr>
            <w:r>
              <w:rPr>
                <w:rFonts w:ascii="Times New Roman" w:hAnsi="Times New Roman"/>
                <w:sz w:val="15"/>
              </w:rPr>
              <w:t>Open-Meteo ERA5 / IMD</w:t>
            </w:r>
          </w:p>
        </w:tc>
      </w:tr>
      <w:tr>
        <w:tc>
          <w:tcPr>
            <w:tcW w:type="dxa" w:w="3373"/>
            <w:tcMar>
              <w:top w:w="40" w:type="dxa"/>
              <w:bottom w:w="40" w:type="dxa"/>
              <w:left w:w="60" w:type="dxa"/>
              <w:right w:w="60" w:type="dxa"/>
            </w:tcMar>
          </w:tcPr>
          <w:p>
            <w:pPr>
              <w:jc w:val="left"/>
            </w:pPr>
            <w:r>
              <w:rPr>
                <w:rFonts w:ascii="Times New Roman" w:hAnsi="Times New Roman"/>
                <w:b/>
                <w:sz w:val="15"/>
              </w:rPr>
              <w:t>rainfall_7d_mm</w:t>
            </w:r>
          </w:p>
        </w:tc>
        <w:tc>
          <w:tcPr>
            <w:tcW w:type="dxa" w:w="3373"/>
            <w:tcMar>
              <w:top w:w="40" w:type="dxa"/>
              <w:bottom w:w="40" w:type="dxa"/>
              <w:left w:w="60" w:type="dxa"/>
              <w:right w:w="60" w:type="dxa"/>
            </w:tcMar>
          </w:tcPr>
          <w:p>
            <w:pPr>
              <w:jc w:val="center"/>
            </w:pPr>
            <w:r>
              <w:rPr>
                <w:rFonts w:ascii="Times New Roman" w:hAnsi="Times New Roman"/>
                <w:sz w:val="15"/>
              </w:rPr>
              <w:t>Meteorology</w:t>
            </w:r>
          </w:p>
        </w:tc>
        <w:tc>
          <w:tcPr>
            <w:tcW w:type="dxa" w:w="3373"/>
            <w:tcMar>
              <w:top w:w="40" w:type="dxa"/>
              <w:bottom w:w="40" w:type="dxa"/>
              <w:left w:w="60" w:type="dxa"/>
              <w:right w:w="60" w:type="dxa"/>
            </w:tcMar>
          </w:tcPr>
          <w:p>
            <w:pPr>
              <w:jc w:val="left"/>
            </w:pPr>
            <w:r>
              <w:rPr>
                <w:rFonts w:ascii="Times New Roman" w:hAnsi="Times New Roman"/>
                <w:sz w:val="15"/>
              </w:rPr>
              <w:t>Open-Meteo ERA5 / IMD</w:t>
            </w:r>
          </w:p>
        </w:tc>
      </w:tr>
      <w:tr>
        <w:tc>
          <w:tcPr>
            <w:tcW w:type="dxa" w:w="3373"/>
            <w:tcMar>
              <w:top w:w="40" w:type="dxa"/>
              <w:bottom w:w="40" w:type="dxa"/>
              <w:left w:w="60" w:type="dxa"/>
              <w:right w:w="60" w:type="dxa"/>
            </w:tcMar>
          </w:tcPr>
          <w:p>
            <w:pPr>
              <w:jc w:val="left"/>
            </w:pPr>
            <w:r>
              <w:rPr>
                <w:rFonts w:ascii="Times New Roman" w:hAnsi="Times New Roman"/>
                <w:b/>
                <w:sz w:val="15"/>
              </w:rPr>
              <w:t>temperature_c</w:t>
            </w:r>
          </w:p>
        </w:tc>
        <w:tc>
          <w:tcPr>
            <w:tcW w:type="dxa" w:w="3373"/>
            <w:tcMar>
              <w:top w:w="40" w:type="dxa"/>
              <w:bottom w:w="40" w:type="dxa"/>
              <w:left w:w="60" w:type="dxa"/>
              <w:right w:w="60" w:type="dxa"/>
            </w:tcMar>
          </w:tcPr>
          <w:p>
            <w:pPr>
              <w:jc w:val="center"/>
            </w:pPr>
            <w:r>
              <w:rPr>
                <w:rFonts w:ascii="Times New Roman" w:hAnsi="Times New Roman"/>
                <w:sz w:val="15"/>
              </w:rPr>
              <w:t>Meteorology</w:t>
            </w:r>
          </w:p>
        </w:tc>
        <w:tc>
          <w:tcPr>
            <w:tcW w:type="dxa" w:w="3373"/>
            <w:tcMar>
              <w:top w:w="40" w:type="dxa"/>
              <w:bottom w:w="40" w:type="dxa"/>
              <w:left w:w="60" w:type="dxa"/>
              <w:right w:w="60" w:type="dxa"/>
            </w:tcMar>
          </w:tcPr>
          <w:p>
            <w:pPr>
              <w:jc w:val="left"/>
            </w:pPr>
            <w:r>
              <w:rPr>
                <w:rFonts w:ascii="Times New Roman" w:hAnsi="Times New Roman"/>
                <w:sz w:val="15"/>
              </w:rPr>
              <w:t>Open-Meteo ERA5 Surface</w:t>
            </w:r>
          </w:p>
        </w:tc>
      </w:tr>
      <w:tr>
        <w:tc>
          <w:tcPr>
            <w:tcW w:type="dxa" w:w="3373"/>
            <w:tcMar>
              <w:top w:w="40" w:type="dxa"/>
              <w:bottom w:w="40" w:type="dxa"/>
              <w:left w:w="60" w:type="dxa"/>
              <w:right w:w="60" w:type="dxa"/>
            </w:tcMar>
          </w:tcPr>
          <w:p>
            <w:pPr>
              <w:jc w:val="left"/>
            </w:pPr>
            <w:r>
              <w:rPr>
                <w:rFonts w:ascii="Times New Roman" w:hAnsi="Times New Roman"/>
                <w:b/>
                <w:sz w:val="15"/>
              </w:rPr>
              <w:t>wind_speed_kmh</w:t>
            </w:r>
          </w:p>
        </w:tc>
        <w:tc>
          <w:tcPr>
            <w:tcW w:type="dxa" w:w="3373"/>
            <w:tcMar>
              <w:top w:w="40" w:type="dxa"/>
              <w:bottom w:w="40" w:type="dxa"/>
              <w:left w:w="60" w:type="dxa"/>
              <w:right w:w="60" w:type="dxa"/>
            </w:tcMar>
          </w:tcPr>
          <w:p>
            <w:pPr>
              <w:jc w:val="center"/>
            </w:pPr>
            <w:r>
              <w:rPr>
                <w:rFonts w:ascii="Times New Roman" w:hAnsi="Times New Roman"/>
                <w:sz w:val="15"/>
              </w:rPr>
              <w:t>Meteorology</w:t>
            </w:r>
          </w:p>
        </w:tc>
        <w:tc>
          <w:tcPr>
            <w:tcW w:type="dxa" w:w="3373"/>
            <w:tcMar>
              <w:top w:w="40" w:type="dxa"/>
              <w:bottom w:w="40" w:type="dxa"/>
              <w:left w:w="60" w:type="dxa"/>
              <w:right w:w="60" w:type="dxa"/>
            </w:tcMar>
          </w:tcPr>
          <w:p>
            <w:pPr>
              <w:jc w:val="left"/>
            </w:pPr>
            <w:r>
              <w:rPr>
                <w:rFonts w:ascii="Times New Roman" w:hAnsi="Times New Roman"/>
                <w:sz w:val="15"/>
              </w:rPr>
              <w:t>Open-Meteo ERA5 10m Wind</w:t>
            </w:r>
          </w:p>
        </w:tc>
      </w:tr>
      <w:tr>
        <w:tc>
          <w:tcPr>
            <w:tcW w:type="dxa" w:w="3373"/>
            <w:tcMar>
              <w:top w:w="40" w:type="dxa"/>
              <w:bottom w:w="40" w:type="dxa"/>
              <w:left w:w="60" w:type="dxa"/>
              <w:right w:w="60" w:type="dxa"/>
            </w:tcMar>
          </w:tcPr>
          <w:p>
            <w:pPr>
              <w:jc w:val="left"/>
            </w:pPr>
            <w:r>
              <w:rPr>
                <w:rFonts w:ascii="Times New Roman" w:hAnsi="Times New Roman"/>
                <w:b/>
                <w:sz w:val="15"/>
              </w:rPr>
              <w:t>upstream_rainfall_72h_mm</w:t>
            </w:r>
          </w:p>
        </w:tc>
        <w:tc>
          <w:tcPr>
            <w:tcW w:type="dxa" w:w="3373"/>
            <w:tcMar>
              <w:top w:w="40" w:type="dxa"/>
              <w:bottom w:w="40" w:type="dxa"/>
              <w:left w:w="60" w:type="dxa"/>
              <w:right w:w="60" w:type="dxa"/>
            </w:tcMar>
          </w:tcPr>
          <w:p>
            <w:pPr>
              <w:jc w:val="center"/>
            </w:pPr>
            <w:r>
              <w:rPr>
                <w:rFonts w:ascii="Times New Roman" w:hAnsi="Times New Roman"/>
                <w:sz w:val="15"/>
              </w:rPr>
              <w:t>Hydrology</w:t>
            </w:r>
          </w:p>
        </w:tc>
        <w:tc>
          <w:tcPr>
            <w:tcW w:type="dxa" w:w="3373"/>
            <w:tcMar>
              <w:top w:w="40" w:type="dxa"/>
              <w:bottom w:w="40" w:type="dxa"/>
              <w:left w:w="60" w:type="dxa"/>
              <w:right w:w="60" w:type="dxa"/>
            </w:tcMar>
          </w:tcPr>
          <w:p>
            <w:pPr>
              <w:jc w:val="left"/>
            </w:pPr>
            <w:r>
              <w:rPr>
                <w:rFonts w:ascii="Times New Roman" w:hAnsi="Times New Roman"/>
                <w:sz w:val="15"/>
              </w:rPr>
              <w:t>Open-Meteo Inflow Gauge</w:t>
            </w:r>
          </w:p>
        </w:tc>
      </w:tr>
      <w:tr>
        <w:tc>
          <w:tcPr>
            <w:tcW w:type="dxa" w:w="3373"/>
            <w:tcMar>
              <w:top w:w="40" w:type="dxa"/>
              <w:bottom w:w="40" w:type="dxa"/>
              <w:left w:w="60" w:type="dxa"/>
              <w:right w:w="60" w:type="dxa"/>
            </w:tcMar>
          </w:tcPr>
          <w:p>
            <w:pPr>
              <w:jc w:val="left"/>
            </w:pPr>
            <w:r>
              <w:rPr>
                <w:rFonts w:ascii="Times New Roman" w:hAnsi="Times New Roman"/>
                <w:b/>
                <w:sz w:val="15"/>
              </w:rPr>
              <w:t>catchment_mean_rainfall_72h</w:t>
            </w:r>
          </w:p>
        </w:tc>
        <w:tc>
          <w:tcPr>
            <w:tcW w:type="dxa" w:w="3373"/>
            <w:tcMar>
              <w:top w:w="40" w:type="dxa"/>
              <w:bottom w:w="40" w:type="dxa"/>
              <w:left w:w="60" w:type="dxa"/>
              <w:right w:w="60" w:type="dxa"/>
            </w:tcMar>
          </w:tcPr>
          <w:p>
            <w:pPr>
              <w:jc w:val="center"/>
            </w:pPr>
            <w:r>
              <w:rPr>
                <w:rFonts w:ascii="Times New Roman" w:hAnsi="Times New Roman"/>
                <w:sz w:val="15"/>
              </w:rPr>
              <w:t>Hydrology</w:t>
            </w:r>
          </w:p>
        </w:tc>
        <w:tc>
          <w:tcPr>
            <w:tcW w:type="dxa" w:w="3373"/>
            <w:tcMar>
              <w:top w:w="40" w:type="dxa"/>
              <w:bottom w:w="40" w:type="dxa"/>
              <w:left w:w="60" w:type="dxa"/>
              <w:right w:w="60" w:type="dxa"/>
            </w:tcMar>
          </w:tcPr>
          <w:p>
            <w:pPr>
              <w:jc w:val="left"/>
            </w:pPr>
            <w:r>
              <w:rPr>
                <w:rFonts w:ascii="Times New Roman" w:hAnsi="Times New Roman"/>
                <w:sz w:val="15"/>
              </w:rPr>
              <w:t>CWC IndoFloods Mean</w:t>
            </w:r>
          </w:p>
        </w:tc>
      </w:tr>
      <w:tr>
        <w:tc>
          <w:tcPr>
            <w:tcW w:type="dxa" w:w="3373"/>
            <w:tcMar>
              <w:top w:w="40" w:type="dxa"/>
              <w:bottom w:w="40" w:type="dxa"/>
              <w:left w:w="60" w:type="dxa"/>
              <w:right w:w="60" w:type="dxa"/>
            </w:tcMar>
          </w:tcPr>
          <w:p>
            <w:pPr>
              <w:jc w:val="left"/>
            </w:pPr>
            <w:r>
              <w:rPr>
                <w:rFonts w:ascii="Times New Roman" w:hAnsi="Times New Roman"/>
                <w:b/>
                <w:sz w:val="15"/>
              </w:rPr>
              <w:t>hand_m</w:t>
            </w:r>
          </w:p>
        </w:tc>
        <w:tc>
          <w:tcPr>
            <w:tcW w:type="dxa" w:w="3373"/>
            <w:tcMar>
              <w:top w:w="40" w:type="dxa"/>
              <w:bottom w:w="40" w:type="dxa"/>
              <w:left w:w="60" w:type="dxa"/>
              <w:right w:w="60" w:type="dxa"/>
            </w:tcMar>
          </w:tcPr>
          <w:p>
            <w:pPr>
              <w:jc w:val="center"/>
            </w:pPr>
            <w:r>
              <w:rPr>
                <w:rFonts w:ascii="Times New Roman" w:hAnsi="Times New Roman"/>
                <w:sz w:val="15"/>
              </w:rPr>
              <w:t>Terrain Clearance</w:t>
            </w:r>
          </w:p>
        </w:tc>
        <w:tc>
          <w:tcPr>
            <w:tcW w:type="dxa" w:w="3373"/>
            <w:tcMar>
              <w:top w:w="40" w:type="dxa"/>
              <w:bottom w:w="40" w:type="dxa"/>
              <w:left w:w="60" w:type="dxa"/>
              <w:right w:w="60" w:type="dxa"/>
            </w:tcMar>
          </w:tcPr>
          <w:p>
            <w:pPr>
              <w:jc w:val="left"/>
            </w:pPr>
            <w:r>
              <w:rPr>
                <w:rFonts w:ascii="Times New Roman" w:hAnsi="Times New Roman"/>
                <w:sz w:val="15"/>
              </w:rPr>
              <w:t>Copernicus GLO-30 DEM</w:t>
            </w:r>
          </w:p>
        </w:tc>
      </w:tr>
    </w:tbl>
    <w:p>
      <w:pPr>
        <w:spacing w:after="120"/>
      </w:pPr>
    </w:p>
    <w:p>
      <w:pPr>
        <w:keepNext/>
        <w:spacing w:before="240" w:after="80"/>
        <w:jc w:val="center"/>
      </w:pPr>
      <w:r>
        <w:rPr>
          <w:rFonts w:ascii="Times New Roman" w:hAnsi="Times New Roman"/>
          <w:b/>
          <w:sz w:val="20"/>
        </w:rPr>
        <w:t>VI.   DYNAMIC MULTI-SENSOR RISK FUSION ENGINE</w:t>
      </w:r>
    </w:p>
    <w:p>
      <w:pPr>
        <w:spacing w:before="0" w:after="70" w:line="252" w:lineRule="auto"/>
        <w:ind w:firstLine="202"/>
        <w:jc w:val="both"/>
      </w:pPr>
      <w:r>
        <w:rPr>
          <w:rFonts w:ascii="Times New Roman" w:hAnsi="Times New Roman"/>
          <w:sz w:val="19"/>
        </w:rPr>
        <w:t>The Fusion Engine continuously aggregates real-time optical detections from YOLOv11s and environmental exposure predictions from XGBoost into a normalized Risk Score R(t) in [0, 100]:</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R(t) = min(100, max(0, max_i S_{vis}(v_i) + delta * max(0, k - 1) + S_{env}))</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(9)</w:t>
            </w:r>
          </w:p>
        </w:tc>
      </w:tr>
    </w:tbl>
    <w:p>
      <w:pPr>
        <w:spacing w:after="40"/>
      </w:pPr>
    </w:p>
    <w:p>
      <w:pPr>
        <w:spacing w:before="0" w:after="70" w:line="252" w:lineRule="auto"/>
        <w:ind w:firstLine="202"/>
        <w:jc w:val="both"/>
      </w:pPr>
      <w:r>
        <w:rPr>
          <w:rFonts w:ascii="Times New Roman" w:hAnsi="Times New Roman"/>
          <w:sz w:val="19"/>
        </w:rPr>
        <w:t>where S_{vis} in {20, 40, 60, 80} represents the maximum detected visual severity (Low, Medium, High, Critical), delta = 5 is the compound multi-hazard density penalty, and S_{env} in {0, 30, 50} represents the environmental risk tier (Safe, Risky, Blocked).</w:t>
      </w:r>
    </w:p>
    <w:p>
      <w:pPr>
        <w:spacing w:before="160" w:after="40"/>
        <w:jc w:val="center"/>
      </w:pPr>
      <w:r>
        <w:rPr>
          <w:rFonts w:ascii="Times New Roman" w:hAnsi="Times New Roman"/>
          <w:b/>
          <w:sz w:val="16"/>
        </w:rPr>
        <w:t>TABLE II.   DYNAMIC RISK TIER CLASSIFICATION &amp; ACTION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373"/>
        <w:gridCol w:w="3373"/>
        <w:gridCol w:w="3373"/>
      </w:tblGrid>
      <w:tr>
        <w:tc>
          <w:tcPr>
            <w:tcW w:type="dxa" w:w="3373"/>
            <w:shd w:fill="F2F2F2"/>
            <w:tcMar>
              <w:top w:w="60" w:type="dxa"/>
              <w:bottom w:w="60" w:type="dxa"/>
              <w:left w:w="60" w:type="dxa"/>
              <w:right w:w="60" w:type="dxa"/>
            </w:tcMar>
          </w:tcPr>
          <w:p>
            <w:pPr>
              <w:jc w:val="center"/>
            </w:pPr>
            <w:r>
              <w:rPr>
                <w:rFonts w:ascii="Times New Roman" w:hAnsi="Times New Roman"/>
                <w:b/>
                <w:sz w:val="15"/>
              </w:rPr>
              <w:t>Risk Score</w:t>
            </w:r>
          </w:p>
        </w:tc>
        <w:tc>
          <w:tcPr>
            <w:tcW w:type="dxa" w:w="3373"/>
            <w:shd w:fill="F2F2F2"/>
            <w:tcMar>
              <w:top w:w="60" w:type="dxa"/>
              <w:bottom w:w="60" w:type="dxa"/>
              <w:left w:w="60" w:type="dxa"/>
              <w:right w:w="60" w:type="dxa"/>
            </w:tcMar>
          </w:tcPr>
          <w:p>
            <w:pPr>
              <w:jc w:val="center"/>
            </w:pPr>
            <w:r>
              <w:rPr>
                <w:rFonts w:ascii="Times New Roman" w:hAnsi="Times New Roman"/>
                <w:b/>
                <w:sz w:val="15"/>
              </w:rPr>
              <w:t>Threat Level</w:t>
            </w:r>
          </w:p>
        </w:tc>
        <w:tc>
          <w:tcPr>
            <w:tcW w:type="dxa" w:w="3373"/>
            <w:shd w:fill="F2F2F2"/>
            <w:tcMar>
              <w:top w:w="60" w:type="dxa"/>
              <w:bottom w:w="60" w:type="dxa"/>
              <w:left w:w="60" w:type="dxa"/>
              <w:right w:w="60" w:type="dxa"/>
            </w:tcMar>
          </w:tcPr>
          <w:p>
            <w:pPr>
              <w:jc w:val="center"/>
            </w:pPr>
            <w:r>
              <w:rPr>
                <w:rFonts w:ascii="Times New Roman" w:hAnsi="Times New Roman"/>
                <w:b/>
                <w:sz w:val="15"/>
              </w:rPr>
              <w:t>Prescribed ADAS / Driver Action</w:t>
            </w:r>
          </w:p>
        </w:tc>
      </w:tr>
      <w:tr>
        <w:tc>
          <w:tcPr>
            <w:tcW w:type="dxa" w:w="3373"/>
            <w:tcMar>
              <w:top w:w="40" w:type="dxa"/>
              <w:bottom w:w="40" w:type="dxa"/>
              <w:left w:w="60" w:type="dxa"/>
              <w:right w:w="60" w:type="dxa"/>
            </w:tcMar>
          </w:tcPr>
          <w:p>
            <w:pPr>
              <w:jc w:val="center"/>
            </w:pPr>
            <w:r>
              <w:rPr>
                <w:rFonts w:ascii="Times New Roman" w:hAnsi="Times New Roman"/>
                <w:sz w:val="15"/>
              </w:rPr>
              <w:t>0 - 30</w:t>
            </w:r>
          </w:p>
        </w:tc>
        <w:tc>
          <w:tcPr>
            <w:tcW w:type="dxa" w:w="3373"/>
            <w:tcMar>
              <w:top w:w="40" w:type="dxa"/>
              <w:bottom w:w="40" w:type="dxa"/>
              <w:left w:w="60" w:type="dxa"/>
              <w:right w:w="60" w:type="dxa"/>
            </w:tcMar>
          </w:tcPr>
          <w:p>
            <w:pPr>
              <w:jc w:val="center"/>
            </w:pPr>
            <w:r>
              <w:rPr>
                <w:rFonts w:ascii="Times New Roman" w:hAnsi="Times New Roman"/>
                <w:b/>
                <w:sz w:val="15"/>
              </w:rPr>
              <w:t>SAFE</w:t>
            </w:r>
          </w:p>
        </w:tc>
        <w:tc>
          <w:tcPr>
            <w:tcW w:type="dxa" w:w="3373"/>
            <w:tcMar>
              <w:top w:w="40" w:type="dxa"/>
              <w:bottom w:w="40" w:type="dxa"/>
              <w:left w:w="60" w:type="dxa"/>
              <w:right w:w="60" w:type="dxa"/>
            </w:tcMar>
          </w:tcPr>
          <w:p>
            <w:pPr>
              <w:jc w:val="left"/>
            </w:pPr>
            <w:r>
              <w:rPr>
                <w:rFonts w:ascii="Times New Roman" w:hAnsi="Times New Roman"/>
                <w:sz w:val="15"/>
              </w:rPr>
              <w:t>Route clear; nominal cruising speed.</w:t>
            </w:r>
          </w:p>
        </w:tc>
      </w:tr>
      <w:tr>
        <w:tc>
          <w:tcPr>
            <w:tcW w:type="dxa" w:w="3373"/>
            <w:tcMar>
              <w:top w:w="40" w:type="dxa"/>
              <w:bottom w:w="40" w:type="dxa"/>
              <w:left w:w="60" w:type="dxa"/>
              <w:right w:w="60" w:type="dxa"/>
            </w:tcMar>
          </w:tcPr>
          <w:p>
            <w:pPr>
              <w:jc w:val="center"/>
            </w:pPr>
            <w:r>
              <w:rPr>
                <w:rFonts w:ascii="Times New Roman" w:hAnsi="Times New Roman"/>
                <w:sz w:val="15"/>
              </w:rPr>
              <w:t>31 - 50</w:t>
            </w:r>
          </w:p>
        </w:tc>
        <w:tc>
          <w:tcPr>
            <w:tcW w:type="dxa" w:w="3373"/>
            <w:tcMar>
              <w:top w:w="40" w:type="dxa"/>
              <w:bottom w:w="40" w:type="dxa"/>
              <w:left w:w="60" w:type="dxa"/>
              <w:right w:w="60" w:type="dxa"/>
            </w:tcMar>
          </w:tcPr>
          <w:p>
            <w:pPr>
              <w:jc w:val="center"/>
            </w:pPr>
            <w:r>
              <w:rPr>
                <w:rFonts w:ascii="Times New Roman" w:hAnsi="Times New Roman"/>
                <w:b/>
                <w:sz w:val="15"/>
              </w:rPr>
              <w:t>LOW</w:t>
            </w:r>
          </w:p>
        </w:tc>
        <w:tc>
          <w:tcPr>
            <w:tcW w:type="dxa" w:w="3373"/>
            <w:tcMar>
              <w:top w:w="40" w:type="dxa"/>
              <w:bottom w:w="40" w:type="dxa"/>
              <w:left w:w="60" w:type="dxa"/>
              <w:right w:w="60" w:type="dxa"/>
            </w:tcMar>
          </w:tcPr>
          <w:p>
            <w:pPr>
              <w:jc w:val="left"/>
            </w:pPr>
            <w:r>
              <w:rPr>
                <w:rFonts w:ascii="Times New Roman" w:hAnsi="Times New Roman"/>
                <w:sz w:val="15"/>
              </w:rPr>
              <w:t>Minor surface anomaly; drive with caution.</w:t>
            </w:r>
          </w:p>
        </w:tc>
      </w:tr>
      <w:tr>
        <w:tc>
          <w:tcPr>
            <w:tcW w:type="dxa" w:w="3373"/>
            <w:tcMar>
              <w:top w:w="40" w:type="dxa"/>
              <w:bottom w:w="40" w:type="dxa"/>
              <w:left w:w="60" w:type="dxa"/>
              <w:right w:w="60" w:type="dxa"/>
            </w:tcMar>
          </w:tcPr>
          <w:p>
            <w:pPr>
              <w:jc w:val="center"/>
            </w:pPr>
            <w:r>
              <w:rPr>
                <w:rFonts w:ascii="Times New Roman" w:hAnsi="Times New Roman"/>
                <w:sz w:val="15"/>
              </w:rPr>
              <w:t>51 - 70</w:t>
            </w:r>
          </w:p>
        </w:tc>
        <w:tc>
          <w:tcPr>
            <w:tcW w:type="dxa" w:w="3373"/>
            <w:tcMar>
              <w:top w:w="40" w:type="dxa"/>
              <w:bottom w:w="40" w:type="dxa"/>
              <w:left w:w="60" w:type="dxa"/>
              <w:right w:w="60" w:type="dxa"/>
            </w:tcMar>
          </w:tcPr>
          <w:p>
            <w:pPr>
              <w:jc w:val="center"/>
            </w:pPr>
            <w:r>
              <w:rPr>
                <w:rFonts w:ascii="Times New Roman" w:hAnsi="Times New Roman"/>
                <w:b/>
                <w:sz w:val="15"/>
              </w:rPr>
              <w:t>MODERATE</w:t>
            </w:r>
          </w:p>
        </w:tc>
        <w:tc>
          <w:tcPr>
            <w:tcW w:type="dxa" w:w="3373"/>
            <w:tcMar>
              <w:top w:w="40" w:type="dxa"/>
              <w:bottom w:w="40" w:type="dxa"/>
              <w:left w:w="60" w:type="dxa"/>
              <w:right w:w="60" w:type="dxa"/>
            </w:tcMar>
          </w:tcPr>
          <w:p>
            <w:pPr>
              <w:jc w:val="left"/>
            </w:pPr>
            <w:r>
              <w:rPr>
                <w:rFonts w:ascii="Times New Roman" w:hAnsi="Times New Roman"/>
                <w:sz w:val="15"/>
              </w:rPr>
              <w:t>Heightened risk; reduce speed, scan forward.</w:t>
            </w:r>
          </w:p>
        </w:tc>
      </w:tr>
      <w:tr>
        <w:tc>
          <w:tcPr>
            <w:tcW w:type="dxa" w:w="3373"/>
            <w:tcMar>
              <w:top w:w="40" w:type="dxa"/>
              <w:bottom w:w="40" w:type="dxa"/>
              <w:left w:w="60" w:type="dxa"/>
              <w:right w:w="60" w:type="dxa"/>
            </w:tcMar>
          </w:tcPr>
          <w:p>
            <w:pPr>
              <w:jc w:val="center"/>
            </w:pPr>
            <w:r>
              <w:rPr>
                <w:rFonts w:ascii="Times New Roman" w:hAnsi="Times New Roman"/>
                <w:sz w:val="15"/>
              </w:rPr>
              <w:t>71 - 85</w:t>
            </w:r>
          </w:p>
        </w:tc>
        <w:tc>
          <w:tcPr>
            <w:tcW w:type="dxa" w:w="3373"/>
            <w:tcMar>
              <w:top w:w="40" w:type="dxa"/>
              <w:bottom w:w="40" w:type="dxa"/>
              <w:left w:w="60" w:type="dxa"/>
              <w:right w:w="60" w:type="dxa"/>
            </w:tcMar>
          </w:tcPr>
          <w:p>
            <w:pPr>
              <w:jc w:val="center"/>
            </w:pPr>
            <w:r>
              <w:rPr>
                <w:rFonts w:ascii="Times New Roman" w:hAnsi="Times New Roman"/>
                <w:b/>
                <w:sz w:val="15"/>
              </w:rPr>
              <w:t>HIGH</w:t>
            </w:r>
          </w:p>
        </w:tc>
        <w:tc>
          <w:tcPr>
            <w:tcW w:type="dxa" w:w="3373"/>
            <w:tcMar>
              <w:top w:w="40" w:type="dxa"/>
              <w:bottom w:w="40" w:type="dxa"/>
              <w:left w:w="60" w:type="dxa"/>
              <w:right w:w="60" w:type="dxa"/>
            </w:tcMar>
          </w:tcPr>
          <w:p>
            <w:pPr>
              <w:jc w:val="left"/>
            </w:pPr>
            <w:r>
              <w:rPr>
                <w:rFonts w:ascii="Times New Roman" w:hAnsi="Times New Roman"/>
                <w:sz w:val="15"/>
              </w:rPr>
              <w:t>Severe threat ahead; calculate bypass.</w:t>
            </w:r>
          </w:p>
        </w:tc>
      </w:tr>
      <w:tr>
        <w:tc>
          <w:tcPr>
            <w:tcW w:type="dxa" w:w="3373"/>
            <w:tcMar>
              <w:top w:w="40" w:type="dxa"/>
              <w:bottom w:w="40" w:type="dxa"/>
              <w:left w:w="60" w:type="dxa"/>
              <w:right w:w="60" w:type="dxa"/>
            </w:tcMar>
          </w:tcPr>
          <w:p>
            <w:pPr>
              <w:jc w:val="center"/>
            </w:pPr>
            <w:r>
              <w:rPr>
                <w:rFonts w:ascii="Times New Roman" w:hAnsi="Times New Roman"/>
                <w:sz w:val="15"/>
              </w:rPr>
              <w:t>86 - 100</w:t>
            </w:r>
          </w:p>
        </w:tc>
        <w:tc>
          <w:tcPr>
            <w:tcW w:type="dxa" w:w="3373"/>
            <w:tcMar>
              <w:top w:w="40" w:type="dxa"/>
              <w:bottom w:w="40" w:type="dxa"/>
              <w:left w:w="60" w:type="dxa"/>
              <w:right w:w="60" w:type="dxa"/>
            </w:tcMar>
          </w:tcPr>
          <w:p>
            <w:pPr>
              <w:jc w:val="center"/>
            </w:pPr>
            <w:r>
              <w:rPr>
                <w:rFonts w:ascii="Times New Roman" w:hAnsi="Times New Roman"/>
                <w:b/>
                <w:sz w:val="15"/>
              </w:rPr>
              <w:t>CRITICAL</w:t>
            </w:r>
          </w:p>
        </w:tc>
        <w:tc>
          <w:tcPr>
            <w:tcW w:type="dxa" w:w="3373"/>
            <w:tcMar>
              <w:top w:w="40" w:type="dxa"/>
              <w:bottom w:w="40" w:type="dxa"/>
              <w:left w:w="60" w:type="dxa"/>
              <w:right w:w="60" w:type="dxa"/>
            </w:tcMar>
          </w:tcPr>
          <w:p>
            <w:pPr>
              <w:jc w:val="left"/>
            </w:pPr>
            <w:r>
              <w:rPr>
                <w:rFonts w:ascii="Times New Roman" w:hAnsi="Times New Roman"/>
                <w:sz w:val="15"/>
              </w:rPr>
              <w:t>Impassable danger; halt and execute reroute.</w:t>
            </w:r>
          </w:p>
        </w:tc>
      </w:tr>
    </w:tbl>
    <w:p>
      <w:pPr>
        <w:spacing w:after="120"/>
      </w:pPr>
    </w:p>
    <w:p>
      <w:pPr>
        <w:keepNext/>
        <w:spacing w:before="240" w:after="80"/>
        <w:jc w:val="center"/>
      </w:pPr>
      <w:r>
        <w:rPr>
          <w:rFonts w:ascii="Times New Roman" w:hAnsi="Times New Roman"/>
          <w:b/>
          <w:sz w:val="20"/>
        </w:rPr>
        <w:t>VII.   DISASTER-AWARE A* RESILIENT PATHFINDING</w:t>
      </w:r>
    </w:p>
    <w:p>
      <w:pPr>
        <w:keepNext/>
        <w:spacing w:before="160" w:after="60"/>
        <w:jc w:val="left"/>
      </w:pPr>
      <w:r>
        <w:rPr>
          <w:rFonts w:ascii="Times New Roman" w:hAnsi="Times New Roman"/>
          <w:b/>
          <w:i/>
          <w:sz w:val="20"/>
        </w:rPr>
        <w:t>A.   Haversine Heuristic &amp; Exponential Traversal Cost</w:t>
      </w:r>
    </w:p>
    <w:p>
      <w:pPr>
        <w:spacing w:before="0" w:after="70" w:line="252" w:lineRule="auto"/>
        <w:ind w:firstLine="202"/>
        <w:jc w:val="both"/>
      </w:pPr>
      <w:r>
        <w:rPr>
          <w:rFonts w:ascii="Times New Roman" w:hAnsi="Times New Roman"/>
          <w:sz w:val="19"/>
        </w:rPr>
        <w:t>The spatial heuristic h(n) uses the Haversine great-circle distance [10] (R = 6371.0 km):</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h(n) = 2R * arctan2( sqrt(a), sqrt(1 - a) )</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(10)</w:t>
            </w:r>
          </w:p>
        </w:tc>
      </w:tr>
    </w:tbl>
    <w:p>
      <w:pPr>
        <w:spacing w:after="40"/>
      </w:pPr>
    </w:p>
    <w:p>
      <w:pPr>
        <w:spacing w:before="0" w:after="70" w:line="252" w:lineRule="auto"/>
        <w:ind w:firstLine="202"/>
        <w:jc w:val="both"/>
      </w:pPr>
      <w:r>
        <w:rPr>
          <w:rFonts w:ascii="Times New Roman" w:hAnsi="Times New Roman"/>
          <w:sz w:val="19"/>
        </w:rPr>
        <w:t>where a = sin^2(delta_phi / 2) + cos(phi_1) * cos(phi_2) * sin^2(delta_lambda / 2). For edge e = (p_1, p_2) with midpoint p_{mid}, edge traversal cost g(p_1, p_2) incorporates an inverse-distance decay penalty against all active disaster epicenters h in H:</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g(p_1, p_2) = dist(p_1, p_2) * [ 1.0 + sum_{h in H} W_{base}(h) * alpha_{sev}(h) * max(0, 1.0 - dist(p_{mid}, h) / R_{inf}) ]</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(11)</w:t>
            </w:r>
          </w:p>
        </w:tc>
      </w:tr>
    </w:tbl>
    <w:p>
      <w:pPr>
        <w:spacing w:after="40"/>
      </w:pPr>
    </w:p>
    <w:p>
      <w:pPr>
        <w:spacing w:before="0" w:after="70" w:line="252" w:lineRule="auto"/>
        <w:ind w:firstLine="202"/>
        <w:jc w:val="both"/>
      </w:pPr>
      <w:r>
        <w:rPr>
          <w:rFonts w:ascii="Times New Roman" w:hAnsi="Times New Roman"/>
          <w:sz w:val="19"/>
        </w:rPr>
        <w:t>where R_{inf} = 1.5 km represents the influence radius, W_{base} in {500, 1000, 100000} represents the hazard weight, and alpha_{sev} in {1.0, 1.5, 2.0} scales critical threats.</w:t>
      </w:r>
    </w:p>
    <w:p>
      <w:pPr>
        <w:keepNext/>
        <w:spacing w:before="160" w:after="60"/>
        <w:jc w:val="left"/>
      </w:pPr>
      <w:r>
        <w:rPr>
          <w:rFonts w:ascii="Times New Roman" w:hAnsi="Times New Roman"/>
          <w:b/>
          <w:i/>
          <w:sz w:val="20"/>
        </w:rPr>
        <w:t>B.   Hann Raised-Cosine Safe Detour Formulation</w:t>
      </w:r>
    </w:p>
    <w:p>
      <w:pPr>
        <w:spacing w:before="0" w:after="70" w:line="252" w:lineRule="auto"/>
        <w:ind w:firstLine="202"/>
        <w:jc w:val="both"/>
      </w:pPr>
      <w:r>
        <w:rPr>
          <w:rFonts w:ascii="Times New Roman" w:hAnsi="Times New Roman"/>
          <w:sz w:val="19"/>
        </w:rPr>
        <w:t>When an active flood or fire hazard intersects a roadway corridor, localized routing must divert traffic completely outside the hazard inundation perimeter. Let p_0(t) denote the nominal road centerline coordinates. Let h = (h_{lat}, h_{lng}) be the hazard epicenter with radius R_{hazard}. The safe clearance distance D_{clearance} is defined as:</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D_{clearance} = R_{hazard} + delta_{buffer}</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(12)</w:t>
            </w:r>
          </w:p>
        </w:tc>
      </w:tr>
    </w:tbl>
    <w:p>
      <w:pPr>
        <w:spacing w:after="40"/>
      </w:pPr>
    </w:p>
    <w:p>
      <w:pPr>
        <w:spacing w:before="0" w:after="70" w:line="252" w:lineRule="auto"/>
        <w:ind w:firstLine="202"/>
        <w:jc w:val="both"/>
      </w:pPr>
      <w:r>
        <w:rPr>
          <w:rFonts w:ascii="Times New Roman" w:hAnsi="Times New Roman"/>
          <w:sz w:val="19"/>
        </w:rPr>
        <w:t>where delta_{buffer} = 0.35 km (350 meters) guarantees complete avoidance of edge turbulence. The lateral displacement along normal vector n_{safe} is governed by a raised-cosine (Hann) window:</w:t>
      </w:r>
    </w:p>
    <w:tbl>
      <w:tblPr>
        <w:tblW w:type="auto" w:w="0"/>
        <w:jc w:val="center"/>
        <w:tblLook w:firstColumn="1" w:firstRow="1" w:lastColumn="0" w:lastRow="0" w:noHBand="0" w:noVBand="1" w:val="04A0"/>
      </w:tblPr>
      <w:tblGrid>
        <w:gridCol w:w="5060"/>
        <w:gridCol w:w="5060"/>
      </w:tblGrid>
      <w:tr>
        <w:tc>
          <w:tcPr>
            <w:tcW w:type="dxa" w:w="5060"/>
            <w:tcMar>
              <w:top w:w="40" w:type="dxa"/>
              <w:bottom w:w="40" w:type="dxa"/>
              <w:left w:w="80" w:type="dxa"/>
              <w:right w:w="40" w:type="dxa"/>
            </w:tcMar>
            <w:tcBorders>
              <w:top w:val="none"/>
              <w:left w:val="none"/>
              <w:bottom w:val="none"/>
              <w:right w:val="none"/>
            </w:tcBorders>
          </w:tcPr>
          <w:p>
            <w:pPr>
              <w:jc w:val="center"/>
            </w:pPr>
            <w:r>
              <w:rPr>
                <w:rFonts w:ascii="Cambria Math" w:hAnsi="Cambria Math"/>
                <w:i/>
                <w:sz w:val="19"/>
              </w:rPr>
              <w:t>p(t) = p_0(t) + n_{safe} * D_{clearance} * 0.5 * [ 1.0 + cos( (dist(p_0(t), h) / R_{impact}) * pi ) ]</w:t>
            </w:r>
          </w:p>
        </w:tc>
        <w:tc>
          <w:tcPr>
            <w:tcW w:type="dxa" w:w="5060"/>
            <w:tcMar>
              <w:top w:w="40" w:type="dxa"/>
              <w:bottom w:w="40" w:type="dxa"/>
              <w:left w:w="40" w:type="dxa"/>
              <w:right w:w="80" w:type="dxa"/>
            </w:tcMar>
            <w:tcBorders>
              <w:top w:val="none"/>
              <w:left w:val="none"/>
              <w:bottom w:val="none"/>
              <w:right w:val="none"/>
            </w:tcBorders>
          </w:tcPr>
          <w:p>
            <w:pPr>
              <w:jc w:val="right"/>
            </w:pPr>
            <w:r>
              <w:rPr>
                <w:rFonts w:ascii="Times New Roman" w:hAnsi="Times New Roman"/>
                <w:sz w:val="19"/>
              </w:rPr>
              <w:t>(13)</w:t>
            </w:r>
          </w:p>
        </w:tc>
      </w:tr>
    </w:tbl>
    <w:p>
      <w:pPr>
        <w:spacing w:after="40"/>
      </w:pPr>
    </w:p>
    <w:p>
      <w:pPr>
        <w:spacing w:before="0" w:after="70" w:line="252" w:lineRule="auto"/>
        <w:ind w:firstLine="202"/>
        <w:jc w:val="both"/>
      </w:pPr>
      <w:r>
        <w:rPr>
          <w:rFonts w:ascii="Times New Roman" w:hAnsi="Times New Roman"/>
          <w:sz w:val="19"/>
        </w:rPr>
        <w:t>for dist(p_0(t), h) &lt; R_{impact}, where R_{impact} = 2.4 * D_{clearance}. Equation 13 guarantees that lateral displacement achieves its exact maximum clearance D_{clearance} directly opposite the hazard epicenter (dist = 0) and smoothly tapers to zero at the entry and exit boundaries. Fig. 5 illustrates the lateral detour clearance profile contrasting the proposed Hann window formulation against naive sinusoidal bypasses.</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1761363"/>
            <wp:docPr id="5" name="Picture 5"/>
            <wp:cNvGraphicFramePr>
              <a:graphicFrameLocks noChangeAspect="1"/>
            </wp:cNvGraphicFramePr>
            <a:graphic>
              <a:graphicData uri="http://schemas.openxmlformats.org/drawingml/2006/picture">
                <pic:pic>
                  <pic:nvPicPr>
                    <pic:cNvPr id="0" name="fig9_detour_clearance_curve.png"/>
                    <pic:cNvPicPr/>
                  </pic:nvPicPr>
                  <pic:blipFill>
                    <a:blip r:embed="rId17"/>
                    <a:stretch>
                      <a:fillRect/>
                    </a:stretch>
                  </pic:blipFill>
                  <pic:spPr>
                    <a:xfrm>
                      <a:off x="0" y="0"/>
                      <a:ext cx="3063240" cy="1761363"/>
                    </a:xfrm>
                    <a:prstGeom prst="rect"/>
                  </pic:spPr>
                </pic:pic>
              </a:graphicData>
            </a:graphic>
          </wp:inline>
        </w:drawing>
      </w:r>
    </w:p>
    <w:p>
      <w:pPr>
        <w:spacing w:before="40" w:after="160" w:line="240" w:lineRule="auto"/>
        <w:jc w:val="both"/>
      </w:pPr>
      <w:r>
        <w:rPr>
          <w:rFonts w:ascii="Times New Roman" w:hAnsi="Times New Roman"/>
          <w:b/>
          <w:sz w:val="16"/>
        </w:rPr>
        <w:t xml:space="preserve">Fig. 5.  </w:t>
      </w:r>
      <w:r>
        <w:rPr>
          <w:rFonts w:ascii="Times New Roman" w:hAnsi="Times New Roman"/>
          <w:sz w:val="16"/>
        </w:rPr>
        <w:t>Lateral Detour Displacement Profile Across Longitudinal Road Corridor: Comparison of the Proposed Hann Raised-Cosine Window (+880m peak clearance) against Flawed Sinusoidal Formulations (which dipped to 0m at the flood epicenter).</w:t>
      </w:r>
    </w:p>
    <w:p>
      <w:pPr>
        <w:keepNext/>
        <w:spacing w:before="240" w:after="80"/>
        <w:jc w:val="center"/>
      </w:pPr>
      <w:r>
        <w:rPr>
          <w:rFonts w:ascii="Times New Roman" w:hAnsi="Times New Roman"/>
          <w:b/>
          <w:sz w:val="20"/>
        </w:rPr>
        <w:t>VIII.   EXPERIMENTAL EVALUATION &amp; EMPIRICAL BENCHMARKS</w:t>
      </w:r>
    </w:p>
    <w:p>
      <w:pPr>
        <w:keepNext/>
        <w:spacing w:before="160" w:after="60"/>
        <w:jc w:val="left"/>
      </w:pPr>
      <w:r>
        <w:rPr>
          <w:rFonts w:ascii="Times New Roman" w:hAnsi="Times New Roman"/>
          <w:b/>
          <w:i/>
          <w:sz w:val="20"/>
        </w:rPr>
        <w:t>A.   Dataset Provenance (N=68 Historical Samples)</w:t>
      </w:r>
    </w:p>
    <w:p>
      <w:pPr>
        <w:spacing w:before="0" w:after="70" w:line="252" w:lineRule="auto"/>
        <w:ind w:firstLine="202"/>
        <w:jc w:val="both"/>
      </w:pPr>
      <w:r>
        <w:rPr>
          <w:rFonts w:ascii="Times New Roman" w:hAnsi="Times New Roman"/>
          <w:sz w:val="19"/>
        </w:rPr>
        <w:t>To ensure scientific validity, the environmental dataset (road_risk_dataset_v9.csv / .parquet, SHA-256: 6c9ade78...) was curated from real historical hydro-meteorological observations across Telangana and Andhra Pradesh, India. Zero synthetic samples were utilized. The dataset comprises 68 observations spanning 13 discrete flood events (2018–2022) across four river basins: Godavari Lower Reach, Krishna Agraharam, Manjira Singur Basin, and Manjira NizamSagar Reach. The target distribution comprises 50 unexposed observations (73.53%) and 18 flood-exposed observations (26.47%).</w:t>
      </w:r>
    </w:p>
    <w:p>
      <w:pPr>
        <w:keepNext/>
        <w:spacing w:before="160" w:after="60"/>
        <w:jc w:val="left"/>
      </w:pPr>
      <w:r>
        <w:rPr>
          <w:rFonts w:ascii="Times New Roman" w:hAnsi="Times New Roman"/>
          <w:b/>
          <w:i/>
          <w:sz w:val="20"/>
        </w:rPr>
        <w:t>B.   Comparative ROC Analysis on Unseen Roads</w:t>
      </w:r>
    </w:p>
    <w:p>
      <w:pPr>
        <w:spacing w:before="0" w:after="70" w:line="252" w:lineRule="auto"/>
        <w:ind w:firstLine="202"/>
        <w:jc w:val="both"/>
      </w:pPr>
      <w:r>
        <w:rPr>
          <w:rFonts w:ascii="Times New Roman" w:hAnsi="Times New Roman"/>
          <w:sz w:val="19"/>
        </w:rPr>
        <w:t>Fig. 6 presents the Receiver Operating Characteristic (ROC) curves on the primary unseen-road evaluation benchmark (N=18, 0.0% road overlap). While XGBoost V2 suffered memorization breakdown (ROC-AUC = 0.5827) and V3 achieved 0.7792, XGBoost V4 achieves an ideal ROC-AUC of 1.0000, establishing complete discriminatory separation between exposed and unexposed corridors.</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2406831"/>
            <wp:docPr id="6" name="Picture 6"/>
            <wp:cNvGraphicFramePr>
              <a:graphicFrameLocks noChangeAspect="1"/>
            </wp:cNvGraphicFramePr>
            <a:graphic>
              <a:graphicData uri="http://schemas.openxmlformats.org/drawingml/2006/picture">
                <pic:pic>
                  <pic:nvPicPr>
                    <pic:cNvPr id="0" name="fig4_roc_comparison.png"/>
                    <pic:cNvPicPr/>
                  </pic:nvPicPr>
                  <pic:blipFill>
                    <a:blip r:embed="rId18"/>
                    <a:stretch>
                      <a:fillRect/>
                    </a:stretch>
                  </pic:blipFill>
                  <pic:spPr>
                    <a:xfrm>
                      <a:off x="0" y="0"/>
                      <a:ext cx="3063240" cy="2406831"/>
                    </a:xfrm>
                    <a:prstGeom prst="rect"/>
                  </pic:spPr>
                </pic:pic>
              </a:graphicData>
            </a:graphic>
          </wp:inline>
        </w:drawing>
      </w:r>
    </w:p>
    <w:p>
      <w:pPr>
        <w:spacing w:before="40" w:after="160" w:line="240" w:lineRule="auto"/>
        <w:jc w:val="both"/>
      </w:pPr>
      <w:r>
        <w:rPr>
          <w:rFonts w:ascii="Times New Roman" w:hAnsi="Times New Roman"/>
          <w:b/>
          <w:sz w:val="16"/>
        </w:rPr>
        <w:t xml:space="preserve">Fig. 6.  </w:t>
      </w:r>
      <w:r>
        <w:rPr>
          <w:rFonts w:ascii="Times New Roman" w:hAnsi="Times New Roman"/>
          <w:sz w:val="16"/>
        </w:rPr>
        <w:t>Receiver Operating Characteristic (ROC) Comparison on Primary Unseen-Road Evaluation Benchmark (N=18): XGBoost V4 (AUC = 1.0000) vs. XGBoost V3 (AUC = 0.7792) vs. XGBoost V2 (AUC = 0.5827).</w:t>
      </w:r>
    </w:p>
    <w:p>
      <w:pPr>
        <w:keepNext/>
        <w:spacing w:before="160" w:after="60"/>
        <w:jc w:val="left"/>
      </w:pPr>
      <w:r>
        <w:rPr>
          <w:rFonts w:ascii="Times New Roman" w:hAnsi="Times New Roman"/>
          <w:b/>
          <w:i/>
          <w:sz w:val="20"/>
        </w:rPr>
        <w:t>C.   Precision-Recall Dynamics</w:t>
      </w:r>
    </w:p>
    <w:p>
      <w:pPr>
        <w:spacing w:before="0" w:after="70" w:line="252" w:lineRule="auto"/>
        <w:ind w:firstLine="202"/>
        <w:jc w:val="both"/>
      </w:pPr>
      <w:r>
        <w:rPr>
          <w:rFonts w:ascii="Times New Roman" w:hAnsi="Times New Roman"/>
          <w:sz w:val="19"/>
        </w:rPr>
        <w:t>Given the class imbalance inherent in disaster events, Precision-Recall (PR) curves provide an essential evaluation metric. As shown in Fig. 7, XGBoost V4 achieves a PR-AUC of 1.0000, significantly outperforming the empirical prevalence baseline (P = 0.3889) and XGBoost V3 (PR-AUC = 0.5362).</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2406831"/>
            <wp:docPr id="7" name="Picture 7"/>
            <wp:cNvGraphicFramePr>
              <a:graphicFrameLocks noChangeAspect="1"/>
            </wp:cNvGraphicFramePr>
            <a:graphic>
              <a:graphicData uri="http://schemas.openxmlformats.org/drawingml/2006/picture">
                <pic:pic>
                  <pic:nvPicPr>
                    <pic:cNvPr id="0" name="fig5_pr_comparison.png"/>
                    <pic:cNvPicPr/>
                  </pic:nvPicPr>
                  <pic:blipFill>
                    <a:blip r:embed="rId19"/>
                    <a:stretch>
                      <a:fillRect/>
                    </a:stretch>
                  </pic:blipFill>
                  <pic:spPr>
                    <a:xfrm>
                      <a:off x="0" y="0"/>
                      <a:ext cx="3063240" cy="2406831"/>
                    </a:xfrm>
                    <a:prstGeom prst="rect"/>
                  </pic:spPr>
                </pic:pic>
              </a:graphicData>
            </a:graphic>
          </wp:inline>
        </w:drawing>
      </w:r>
    </w:p>
    <w:p>
      <w:pPr>
        <w:spacing w:before="40" w:after="160" w:line="240" w:lineRule="auto"/>
        <w:jc w:val="both"/>
      </w:pPr>
      <w:r>
        <w:rPr>
          <w:rFonts w:ascii="Times New Roman" w:hAnsi="Times New Roman"/>
          <w:b/>
          <w:sz w:val="16"/>
        </w:rPr>
        <w:t xml:space="preserve">Fig. 7.  </w:t>
      </w:r>
      <w:r>
        <w:rPr>
          <w:rFonts w:ascii="Times New Roman" w:hAnsi="Times New Roman"/>
          <w:sz w:val="16"/>
        </w:rPr>
        <w:t>Precision-Recall (PR) Curves on Primary Unseen-Road Test Split: Demonstrating zero false negatives and perfect rank ordering achieved by XGBoost V4.</w:t>
      </w:r>
    </w:p>
    <w:p>
      <w:pPr>
        <w:keepNext/>
        <w:spacing w:before="160" w:after="60"/>
        <w:jc w:val="left"/>
      </w:pPr>
      <w:r>
        <w:rPr>
          <w:rFonts w:ascii="Times New Roman" w:hAnsi="Times New Roman"/>
          <w:b/>
          <w:i/>
          <w:sz w:val="20"/>
        </w:rPr>
        <w:t>D.   Feature Importance (XGBoost Gain)</w:t>
      </w:r>
    </w:p>
    <w:p>
      <w:pPr>
        <w:spacing w:before="0" w:after="70" w:line="252" w:lineRule="auto"/>
        <w:ind w:firstLine="202"/>
        <w:jc w:val="both"/>
      </w:pPr>
      <w:r>
        <w:rPr>
          <w:rFonts w:ascii="Times New Roman" w:hAnsi="Times New Roman"/>
          <w:sz w:val="19"/>
        </w:rPr>
        <w:t>Fig. 8 illustrates the distribution of XGBoost Gain importance across the 8 features. Height Above Nearest Drainage (hand_m) represents the single dominant predictor, accounting for 25.96% of total split gain, followed by antecedent 72-hour precipitation (17.87%) and upstream river reach inflow (17.30%).</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1837944"/>
            <wp:docPr id="8" name="Picture 8"/>
            <wp:cNvGraphicFramePr>
              <a:graphicFrameLocks noChangeAspect="1"/>
            </wp:cNvGraphicFramePr>
            <a:graphic>
              <a:graphicData uri="http://schemas.openxmlformats.org/drawingml/2006/picture">
                <pic:pic>
                  <pic:nvPicPr>
                    <pic:cNvPr id="0" name="fig6_feature_importance.png"/>
                    <pic:cNvPicPr/>
                  </pic:nvPicPr>
                  <pic:blipFill>
                    <a:blip r:embed="rId20"/>
                    <a:stretch>
                      <a:fillRect/>
                    </a:stretch>
                  </pic:blipFill>
                  <pic:spPr>
                    <a:xfrm>
                      <a:off x="0" y="0"/>
                      <a:ext cx="3063240" cy="1837944"/>
                    </a:xfrm>
                    <a:prstGeom prst="rect"/>
                  </pic:spPr>
                </pic:pic>
              </a:graphicData>
            </a:graphic>
          </wp:inline>
        </w:drawing>
      </w:r>
    </w:p>
    <w:p>
      <w:pPr>
        <w:spacing w:before="40" w:after="160" w:line="240" w:lineRule="auto"/>
        <w:jc w:val="both"/>
      </w:pPr>
      <w:r>
        <w:rPr>
          <w:rFonts w:ascii="Times New Roman" w:hAnsi="Times New Roman"/>
          <w:b/>
          <w:sz w:val="16"/>
        </w:rPr>
        <w:t xml:space="preserve">Fig. 8.  </w:t>
      </w:r>
      <w:r>
        <w:rPr>
          <w:rFonts w:ascii="Times New Roman" w:hAnsi="Times New Roman"/>
          <w:sz w:val="16"/>
        </w:rPr>
        <w:t>Feature Importance Rankings (XGBoost Gain Metric): Physical terrain clearance (HAND) and antecedent catchment precipitation account for over 61% of total model predictive power.</w:t>
      </w:r>
    </w:p>
    <w:p>
      <w:pPr>
        <w:keepNext/>
        <w:spacing w:before="160" w:after="60"/>
        <w:jc w:val="left"/>
      </w:pPr>
      <w:r>
        <w:rPr>
          <w:rFonts w:ascii="Times New Roman" w:hAnsi="Times New Roman"/>
          <w:b/>
          <w:i/>
          <w:sz w:val="20"/>
        </w:rPr>
        <w:t>E.   Confusion Matrices &amp; Error Breakdown</w:t>
      </w:r>
    </w:p>
    <w:p>
      <w:pPr>
        <w:spacing w:before="0" w:after="70" w:line="252" w:lineRule="auto"/>
        <w:ind w:firstLine="202"/>
        <w:jc w:val="both"/>
      </w:pPr>
      <w:r>
        <w:rPr>
          <w:rFonts w:ascii="Times New Roman" w:hAnsi="Times New Roman"/>
          <w:sz w:val="19"/>
        </w:rPr>
        <w:t>Fig. 9 details the confusion matrices evaluated across model generations on the unseen-road test set (N=18). Crucially, XGBoost V4 achieves a 100.0% recall rate with exactly zero false negatives (TP=7, FN=0), cutting total classification errors from 6 down to 3.</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1002515"/>
            <wp:docPr id="9" name="Picture 9"/>
            <wp:cNvGraphicFramePr>
              <a:graphicFrameLocks noChangeAspect="1"/>
            </wp:cNvGraphicFramePr>
            <a:graphic>
              <a:graphicData uri="http://schemas.openxmlformats.org/drawingml/2006/picture">
                <pic:pic>
                  <pic:nvPicPr>
                    <pic:cNvPr id="0" name="fig7_confusion_matrices.png"/>
                    <pic:cNvPicPr/>
                  </pic:nvPicPr>
                  <pic:blipFill>
                    <a:blip r:embed="rId21"/>
                    <a:stretch>
                      <a:fillRect/>
                    </a:stretch>
                  </pic:blipFill>
                  <pic:spPr>
                    <a:xfrm>
                      <a:off x="0" y="0"/>
                      <a:ext cx="3063240" cy="1002515"/>
                    </a:xfrm>
                    <a:prstGeom prst="rect"/>
                  </pic:spPr>
                </pic:pic>
              </a:graphicData>
            </a:graphic>
          </wp:inline>
        </w:drawing>
      </w:r>
    </w:p>
    <w:p>
      <w:pPr>
        <w:spacing w:before="40" w:after="160" w:line="240" w:lineRule="auto"/>
        <w:jc w:val="both"/>
      </w:pPr>
      <w:r>
        <w:rPr>
          <w:rFonts w:ascii="Times New Roman" w:hAnsi="Times New Roman"/>
          <w:b/>
          <w:sz w:val="16"/>
        </w:rPr>
        <w:t xml:space="preserve">Fig. 9.  </w:t>
      </w:r>
      <w:r>
        <w:rPr>
          <w:rFonts w:ascii="Times New Roman" w:hAnsi="Times New Roman"/>
          <w:sz w:val="16"/>
        </w:rPr>
        <w:t>Confusion Matrices Comparison across Models on Unseen Corridors: Highlighting zero false negatives (100% recall) achieved by XGBoost V4.</w:t>
      </w:r>
    </w:p>
    <w:p>
      <w:pPr>
        <w:keepNext/>
        <w:spacing w:before="160" w:after="60"/>
        <w:jc w:val="left"/>
      </w:pPr>
      <w:r>
        <w:rPr>
          <w:rFonts w:ascii="Times New Roman" w:hAnsi="Times New Roman"/>
          <w:b/>
          <w:i/>
          <w:sz w:val="20"/>
        </w:rPr>
        <w:t>F.   Cross-Generational Performance Benchmarks</w:t>
      </w:r>
    </w:p>
    <w:p>
      <w:pPr>
        <w:spacing w:before="0" w:after="70" w:line="252" w:lineRule="auto"/>
        <w:ind w:firstLine="202"/>
        <w:jc w:val="both"/>
      </w:pPr>
      <w:r>
        <w:rPr>
          <w:rFonts w:ascii="Times New Roman" w:hAnsi="Times New Roman"/>
          <w:sz w:val="19"/>
        </w:rPr>
        <w:t>Fig. 10 summarizes the multi-metric benchmark comparison across Accuracy, Precision, Recall, F1-Score, and ROC-AUC.</w:t>
      </w:r>
    </w:p>
    <w:p>
      <w:pPr>
        <w:spacing w:before="120" w:after="40"/>
        <w:jc w:val="center"/>
      </w:pPr>
    </w:p>
    <w:p>
      <w:r>
        <w:drawing>
          <wp:inline xmlns:wp="http://schemas.openxmlformats.org/drawingml/2006/wordprocessingDrawing" xmlns:a="http://schemas.openxmlformats.org/drawingml/2006/main" xmlns:pic="http://schemas.openxmlformats.org/drawingml/2006/picture">
            <wp:extent cx="3063240" cy="1657753"/>
            <wp:docPr id="10" name="Picture 10"/>
            <wp:cNvGraphicFramePr>
              <a:graphicFrameLocks noChangeAspect="1"/>
            </wp:cNvGraphicFramePr>
            <a:graphic>
              <a:graphicData uri="http://schemas.openxmlformats.org/drawingml/2006/picture">
                <pic:pic>
                  <pic:nvPicPr>
                    <pic:cNvPr id="0" name="fig8_metric_bars.png"/>
                    <pic:cNvPicPr/>
                  </pic:nvPicPr>
                  <pic:blipFill>
                    <a:blip r:embed="rId22"/>
                    <a:stretch>
                      <a:fillRect/>
                    </a:stretch>
                  </pic:blipFill>
                  <pic:spPr>
                    <a:xfrm>
                      <a:off x="0" y="0"/>
                      <a:ext cx="3063240" cy="1657753"/>
                    </a:xfrm>
                    <a:prstGeom prst="rect"/>
                  </pic:spPr>
                </pic:pic>
              </a:graphicData>
            </a:graphic>
          </wp:inline>
        </w:drawing>
      </w:r>
    </w:p>
    <w:p>
      <w:pPr>
        <w:spacing w:before="40" w:after="160" w:line="240" w:lineRule="auto"/>
        <w:jc w:val="both"/>
      </w:pPr>
      <w:r>
        <w:rPr>
          <w:rFonts w:ascii="Times New Roman" w:hAnsi="Times New Roman"/>
          <w:b/>
          <w:sz w:val="16"/>
        </w:rPr>
        <w:t xml:space="preserve">Fig. 10.  </w:t>
      </w:r>
      <w:r>
        <w:rPr>
          <w:rFonts w:ascii="Times New Roman" w:hAnsi="Times New Roman"/>
          <w:sz w:val="16"/>
        </w:rPr>
        <w:t>Cross-Generational Performance Benchmarks across Accuracy, Precision, Safety-Critical Recall, F1-Score, and ROC-AUC on the Primary Unseen-Road Test Set.</w:t>
      </w:r>
    </w:p>
    <w:p>
      <w:pPr>
        <w:spacing w:before="160" w:after="40"/>
        <w:jc w:val="center"/>
      </w:pPr>
      <w:r>
        <w:rPr>
          <w:rFonts w:ascii="Times New Roman" w:hAnsi="Times New Roman"/>
          <w:b/>
          <w:sz w:val="16"/>
        </w:rPr>
        <w:t>TABLE III.   COMPARATIVE BENCHMARK ACROSS GENERATIONS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530"/>
        <w:gridCol w:w="2530"/>
        <w:gridCol w:w="2530"/>
        <w:gridCol w:w="2530"/>
      </w:tblGrid>
      <w:tr>
        <w:tc>
          <w:tcPr>
            <w:tcW w:type="dxa" w:w="2530"/>
            <w:shd w:fill="F2F2F2"/>
            <w:tcMar>
              <w:top w:w="60" w:type="dxa"/>
              <w:bottom w:w="60" w:type="dxa"/>
              <w:left w:w="60" w:type="dxa"/>
              <w:right w:w="60" w:type="dxa"/>
            </w:tcMar>
          </w:tcPr>
          <w:p>
            <w:pPr>
              <w:jc w:val="center"/>
            </w:pPr>
            <w:r>
              <w:rPr>
                <w:rFonts w:ascii="Times New Roman" w:hAnsi="Times New Roman"/>
                <w:b/>
                <w:sz w:val="15"/>
              </w:rPr>
              <w:t>Metric</w:t>
            </w:r>
          </w:p>
        </w:tc>
        <w:tc>
          <w:tcPr>
            <w:tcW w:type="dxa" w:w="2530"/>
            <w:shd w:fill="F2F2F2"/>
            <w:tcMar>
              <w:top w:w="60" w:type="dxa"/>
              <w:bottom w:w="60" w:type="dxa"/>
              <w:left w:w="60" w:type="dxa"/>
              <w:right w:w="60" w:type="dxa"/>
            </w:tcMar>
          </w:tcPr>
          <w:p>
            <w:pPr>
              <w:jc w:val="center"/>
            </w:pPr>
            <w:r>
              <w:rPr>
                <w:rFonts w:ascii="Times New Roman" w:hAnsi="Times New Roman"/>
                <w:b/>
                <w:sz w:val="15"/>
              </w:rPr>
              <w:t>XGBoost V2</w:t>
            </w:r>
          </w:p>
        </w:tc>
        <w:tc>
          <w:tcPr>
            <w:tcW w:type="dxa" w:w="2530"/>
            <w:shd w:fill="F2F2F2"/>
            <w:tcMar>
              <w:top w:w="60" w:type="dxa"/>
              <w:bottom w:w="60" w:type="dxa"/>
              <w:left w:w="60" w:type="dxa"/>
              <w:right w:w="60" w:type="dxa"/>
            </w:tcMar>
          </w:tcPr>
          <w:p>
            <w:pPr>
              <w:jc w:val="center"/>
            </w:pPr>
            <w:r>
              <w:rPr>
                <w:rFonts w:ascii="Times New Roman" w:hAnsi="Times New Roman"/>
                <w:b/>
                <w:sz w:val="15"/>
              </w:rPr>
              <w:t>XGBoost V3</w:t>
            </w:r>
          </w:p>
        </w:tc>
        <w:tc>
          <w:tcPr>
            <w:tcW w:type="dxa" w:w="2530"/>
            <w:shd w:fill="F2F2F2"/>
            <w:tcMar>
              <w:top w:w="60" w:type="dxa"/>
              <w:bottom w:w="60" w:type="dxa"/>
              <w:left w:w="60" w:type="dxa"/>
              <w:right w:w="60" w:type="dxa"/>
            </w:tcMar>
          </w:tcPr>
          <w:p>
            <w:pPr>
              <w:jc w:val="center"/>
            </w:pPr>
            <w:r>
              <w:rPr>
                <w:rFonts w:ascii="Times New Roman" w:hAnsi="Times New Roman"/>
                <w:b/>
                <w:sz w:val="15"/>
              </w:rPr>
              <w:t>XGBoost V4</w:t>
            </w:r>
          </w:p>
        </w:tc>
      </w:tr>
      <w:tr>
        <w:tc>
          <w:tcPr>
            <w:tcW w:type="dxa" w:w="2530"/>
            <w:tcMar>
              <w:top w:w="40" w:type="dxa"/>
              <w:bottom w:w="40" w:type="dxa"/>
              <w:left w:w="60" w:type="dxa"/>
              <w:right w:w="60" w:type="dxa"/>
            </w:tcMar>
          </w:tcPr>
          <w:p>
            <w:pPr>
              <w:jc w:val="left"/>
            </w:pPr>
            <w:r>
              <w:rPr>
                <w:rFonts w:ascii="Times New Roman" w:hAnsi="Times New Roman"/>
                <w:sz w:val="15"/>
              </w:rPr>
              <w:t>Accuracy</w:t>
            </w:r>
          </w:p>
        </w:tc>
        <w:tc>
          <w:tcPr>
            <w:tcW w:type="dxa" w:w="2530"/>
            <w:tcMar>
              <w:top w:w="40" w:type="dxa"/>
              <w:bottom w:w="40" w:type="dxa"/>
              <w:left w:w="60" w:type="dxa"/>
              <w:right w:w="60" w:type="dxa"/>
            </w:tcMar>
          </w:tcPr>
          <w:p>
            <w:pPr>
              <w:jc w:val="center"/>
            </w:pPr>
            <w:r>
              <w:rPr>
                <w:rFonts w:ascii="Times New Roman" w:hAnsi="Times New Roman"/>
                <w:sz w:val="15"/>
              </w:rPr>
              <w:t>50.0%</w:t>
            </w:r>
          </w:p>
        </w:tc>
        <w:tc>
          <w:tcPr>
            <w:tcW w:type="dxa" w:w="2530"/>
            <w:tcMar>
              <w:top w:w="40" w:type="dxa"/>
              <w:bottom w:w="40" w:type="dxa"/>
              <w:left w:w="60" w:type="dxa"/>
              <w:right w:w="60" w:type="dxa"/>
            </w:tcMar>
          </w:tcPr>
          <w:p>
            <w:pPr>
              <w:jc w:val="center"/>
            </w:pPr>
            <w:r>
              <w:rPr>
                <w:rFonts w:ascii="Times New Roman" w:hAnsi="Times New Roman"/>
                <w:sz w:val="15"/>
              </w:rPr>
              <w:t>66.67%</w:t>
            </w:r>
          </w:p>
        </w:tc>
        <w:tc>
          <w:tcPr>
            <w:tcW w:type="dxa" w:w="2530"/>
            <w:tcMar>
              <w:top w:w="40" w:type="dxa"/>
              <w:bottom w:w="40" w:type="dxa"/>
              <w:left w:w="60" w:type="dxa"/>
              <w:right w:w="60" w:type="dxa"/>
            </w:tcMar>
          </w:tcPr>
          <w:p>
            <w:pPr>
              <w:jc w:val="center"/>
            </w:pPr>
            <w:r>
              <w:rPr>
                <w:rFonts w:ascii="Times New Roman" w:hAnsi="Times New Roman"/>
                <w:b/>
                <w:sz w:val="15"/>
              </w:rPr>
              <w:t>83.33%</w:t>
            </w:r>
          </w:p>
        </w:tc>
      </w:tr>
      <w:tr>
        <w:tc>
          <w:tcPr>
            <w:tcW w:type="dxa" w:w="2530"/>
            <w:tcMar>
              <w:top w:w="40" w:type="dxa"/>
              <w:bottom w:w="40" w:type="dxa"/>
              <w:left w:w="60" w:type="dxa"/>
              <w:right w:w="60" w:type="dxa"/>
            </w:tcMar>
          </w:tcPr>
          <w:p>
            <w:pPr>
              <w:jc w:val="left"/>
            </w:pPr>
            <w:r>
              <w:rPr>
                <w:rFonts w:ascii="Times New Roman" w:hAnsi="Times New Roman"/>
                <w:sz w:val="15"/>
              </w:rPr>
              <w:t>Precision</w:t>
            </w:r>
          </w:p>
        </w:tc>
        <w:tc>
          <w:tcPr>
            <w:tcW w:type="dxa" w:w="2530"/>
            <w:tcMar>
              <w:top w:w="40" w:type="dxa"/>
              <w:bottom w:w="40" w:type="dxa"/>
              <w:left w:w="60" w:type="dxa"/>
              <w:right w:w="60" w:type="dxa"/>
            </w:tcMar>
          </w:tcPr>
          <w:p>
            <w:pPr>
              <w:jc w:val="center"/>
            </w:pPr>
            <w:r>
              <w:rPr>
                <w:rFonts w:ascii="Times New Roman" w:hAnsi="Times New Roman"/>
                <w:sz w:val="15"/>
              </w:rPr>
              <w:t>37.5%</w:t>
            </w:r>
          </w:p>
        </w:tc>
        <w:tc>
          <w:tcPr>
            <w:tcW w:type="dxa" w:w="2530"/>
            <w:tcMar>
              <w:top w:w="40" w:type="dxa"/>
              <w:bottom w:w="40" w:type="dxa"/>
              <w:left w:w="60" w:type="dxa"/>
              <w:right w:w="60" w:type="dxa"/>
            </w:tcMar>
          </w:tcPr>
          <w:p>
            <w:pPr>
              <w:jc w:val="center"/>
            </w:pPr>
            <w:r>
              <w:rPr>
                <w:rFonts w:ascii="Times New Roman" w:hAnsi="Times New Roman"/>
                <w:sz w:val="15"/>
              </w:rPr>
              <w:t>54.55%</w:t>
            </w:r>
          </w:p>
        </w:tc>
        <w:tc>
          <w:tcPr>
            <w:tcW w:type="dxa" w:w="2530"/>
            <w:tcMar>
              <w:top w:w="40" w:type="dxa"/>
              <w:bottom w:w="40" w:type="dxa"/>
              <w:left w:w="60" w:type="dxa"/>
              <w:right w:w="60" w:type="dxa"/>
            </w:tcMar>
          </w:tcPr>
          <w:p>
            <w:pPr>
              <w:jc w:val="center"/>
            </w:pPr>
            <w:r>
              <w:rPr>
                <w:rFonts w:ascii="Times New Roman" w:hAnsi="Times New Roman"/>
                <w:b/>
                <w:sz w:val="15"/>
              </w:rPr>
              <w:t>70.00%</w:t>
            </w:r>
          </w:p>
        </w:tc>
      </w:tr>
      <w:tr>
        <w:tc>
          <w:tcPr>
            <w:tcW w:type="dxa" w:w="2530"/>
            <w:tcMar>
              <w:top w:w="40" w:type="dxa"/>
              <w:bottom w:w="40" w:type="dxa"/>
              <w:left w:w="60" w:type="dxa"/>
              <w:right w:w="60" w:type="dxa"/>
            </w:tcMar>
          </w:tcPr>
          <w:p>
            <w:pPr>
              <w:jc w:val="left"/>
            </w:pPr>
            <w:r>
              <w:rPr>
                <w:rFonts w:ascii="Times New Roman" w:hAnsi="Times New Roman"/>
                <w:sz w:val="15"/>
              </w:rPr>
              <w:t>Recall (Safety)</w:t>
            </w:r>
          </w:p>
        </w:tc>
        <w:tc>
          <w:tcPr>
            <w:tcW w:type="dxa" w:w="2530"/>
            <w:tcMar>
              <w:top w:w="40" w:type="dxa"/>
              <w:bottom w:w="40" w:type="dxa"/>
              <w:left w:w="60" w:type="dxa"/>
              <w:right w:w="60" w:type="dxa"/>
            </w:tcMar>
          </w:tcPr>
          <w:p>
            <w:pPr>
              <w:jc w:val="center"/>
            </w:pPr>
            <w:r>
              <w:rPr>
                <w:rFonts w:ascii="Times New Roman" w:hAnsi="Times New Roman"/>
                <w:sz w:val="15"/>
              </w:rPr>
              <w:t>42.9%</w:t>
            </w:r>
          </w:p>
        </w:tc>
        <w:tc>
          <w:tcPr>
            <w:tcW w:type="dxa" w:w="2530"/>
            <w:tcMar>
              <w:top w:w="40" w:type="dxa"/>
              <w:bottom w:w="40" w:type="dxa"/>
              <w:left w:w="60" w:type="dxa"/>
              <w:right w:w="60" w:type="dxa"/>
            </w:tcMar>
          </w:tcPr>
          <w:p>
            <w:pPr>
              <w:jc w:val="center"/>
            </w:pPr>
            <w:r>
              <w:rPr>
                <w:rFonts w:ascii="Times New Roman" w:hAnsi="Times New Roman"/>
                <w:sz w:val="15"/>
              </w:rPr>
              <w:t>85.71%</w:t>
            </w:r>
          </w:p>
        </w:tc>
        <w:tc>
          <w:tcPr>
            <w:tcW w:type="dxa" w:w="2530"/>
            <w:tcMar>
              <w:top w:w="40" w:type="dxa"/>
              <w:bottom w:w="40" w:type="dxa"/>
              <w:left w:w="60" w:type="dxa"/>
              <w:right w:w="60" w:type="dxa"/>
            </w:tcMar>
          </w:tcPr>
          <w:p>
            <w:pPr>
              <w:jc w:val="center"/>
            </w:pPr>
            <w:r>
              <w:rPr>
                <w:rFonts w:ascii="Times New Roman" w:hAnsi="Times New Roman"/>
                <w:b/>
                <w:sz w:val="15"/>
              </w:rPr>
              <w:t>100.00%</w:t>
            </w:r>
          </w:p>
        </w:tc>
      </w:tr>
      <w:tr>
        <w:tc>
          <w:tcPr>
            <w:tcW w:type="dxa" w:w="2530"/>
            <w:tcMar>
              <w:top w:w="40" w:type="dxa"/>
              <w:bottom w:w="40" w:type="dxa"/>
              <w:left w:w="60" w:type="dxa"/>
              <w:right w:w="60" w:type="dxa"/>
            </w:tcMar>
          </w:tcPr>
          <w:p>
            <w:pPr>
              <w:jc w:val="left"/>
            </w:pPr>
            <w:r>
              <w:rPr>
                <w:rFonts w:ascii="Times New Roman" w:hAnsi="Times New Roman"/>
                <w:sz w:val="15"/>
              </w:rPr>
              <w:t>F1-Score</w:t>
            </w:r>
          </w:p>
        </w:tc>
        <w:tc>
          <w:tcPr>
            <w:tcW w:type="dxa" w:w="2530"/>
            <w:tcMar>
              <w:top w:w="40" w:type="dxa"/>
              <w:bottom w:w="40" w:type="dxa"/>
              <w:left w:w="60" w:type="dxa"/>
              <w:right w:w="60" w:type="dxa"/>
            </w:tcMar>
          </w:tcPr>
          <w:p>
            <w:pPr>
              <w:jc w:val="center"/>
            </w:pPr>
            <w:r>
              <w:rPr>
                <w:rFonts w:ascii="Times New Roman" w:hAnsi="Times New Roman"/>
                <w:sz w:val="15"/>
              </w:rPr>
              <w:t>0.4000</w:t>
            </w:r>
          </w:p>
        </w:tc>
        <w:tc>
          <w:tcPr>
            <w:tcW w:type="dxa" w:w="2530"/>
            <w:tcMar>
              <w:top w:w="40" w:type="dxa"/>
              <w:bottom w:w="40" w:type="dxa"/>
              <w:left w:w="60" w:type="dxa"/>
              <w:right w:w="60" w:type="dxa"/>
            </w:tcMar>
          </w:tcPr>
          <w:p>
            <w:pPr>
              <w:jc w:val="center"/>
            </w:pPr>
            <w:r>
              <w:rPr>
                <w:rFonts w:ascii="Times New Roman" w:hAnsi="Times New Roman"/>
                <w:sz w:val="15"/>
              </w:rPr>
              <w:t>0.6667</w:t>
            </w:r>
          </w:p>
        </w:tc>
        <w:tc>
          <w:tcPr>
            <w:tcW w:type="dxa" w:w="2530"/>
            <w:tcMar>
              <w:top w:w="40" w:type="dxa"/>
              <w:bottom w:w="40" w:type="dxa"/>
              <w:left w:w="60" w:type="dxa"/>
              <w:right w:w="60" w:type="dxa"/>
            </w:tcMar>
          </w:tcPr>
          <w:p>
            <w:pPr>
              <w:jc w:val="center"/>
            </w:pPr>
            <w:r>
              <w:rPr>
                <w:rFonts w:ascii="Times New Roman" w:hAnsi="Times New Roman"/>
                <w:b/>
                <w:sz w:val="15"/>
              </w:rPr>
              <w:t>0.8235</w:t>
            </w:r>
          </w:p>
        </w:tc>
      </w:tr>
      <w:tr>
        <w:tc>
          <w:tcPr>
            <w:tcW w:type="dxa" w:w="2530"/>
            <w:tcMar>
              <w:top w:w="40" w:type="dxa"/>
              <w:bottom w:w="40" w:type="dxa"/>
              <w:left w:w="60" w:type="dxa"/>
              <w:right w:w="60" w:type="dxa"/>
            </w:tcMar>
          </w:tcPr>
          <w:p>
            <w:pPr>
              <w:jc w:val="left"/>
            </w:pPr>
            <w:r>
              <w:rPr>
                <w:rFonts w:ascii="Times New Roman" w:hAnsi="Times New Roman"/>
                <w:sz w:val="15"/>
              </w:rPr>
              <w:t>ROC-AUC</w:t>
            </w:r>
          </w:p>
        </w:tc>
        <w:tc>
          <w:tcPr>
            <w:tcW w:type="dxa" w:w="2530"/>
            <w:tcMar>
              <w:top w:w="40" w:type="dxa"/>
              <w:bottom w:w="40" w:type="dxa"/>
              <w:left w:w="60" w:type="dxa"/>
              <w:right w:w="60" w:type="dxa"/>
            </w:tcMar>
          </w:tcPr>
          <w:p>
            <w:pPr>
              <w:jc w:val="center"/>
            </w:pPr>
            <w:r>
              <w:rPr>
                <w:rFonts w:ascii="Times New Roman" w:hAnsi="Times New Roman"/>
                <w:sz w:val="15"/>
              </w:rPr>
              <w:t>0.5827</w:t>
            </w:r>
          </w:p>
        </w:tc>
        <w:tc>
          <w:tcPr>
            <w:tcW w:type="dxa" w:w="2530"/>
            <w:tcMar>
              <w:top w:w="40" w:type="dxa"/>
              <w:bottom w:w="40" w:type="dxa"/>
              <w:left w:w="60" w:type="dxa"/>
              <w:right w:w="60" w:type="dxa"/>
            </w:tcMar>
          </w:tcPr>
          <w:p>
            <w:pPr>
              <w:jc w:val="center"/>
            </w:pPr>
            <w:r>
              <w:rPr>
                <w:rFonts w:ascii="Times New Roman" w:hAnsi="Times New Roman"/>
                <w:sz w:val="15"/>
              </w:rPr>
              <w:t>0.7792</w:t>
            </w:r>
          </w:p>
        </w:tc>
        <w:tc>
          <w:tcPr>
            <w:tcW w:type="dxa" w:w="2530"/>
            <w:tcMar>
              <w:top w:w="40" w:type="dxa"/>
              <w:bottom w:w="40" w:type="dxa"/>
              <w:left w:w="60" w:type="dxa"/>
              <w:right w:w="60" w:type="dxa"/>
            </w:tcMar>
          </w:tcPr>
          <w:p>
            <w:pPr>
              <w:jc w:val="center"/>
            </w:pPr>
            <w:r>
              <w:rPr>
                <w:rFonts w:ascii="Times New Roman" w:hAnsi="Times New Roman"/>
                <w:b/>
                <w:sz w:val="15"/>
              </w:rPr>
              <w:t>1.0000</w:t>
            </w:r>
          </w:p>
        </w:tc>
      </w:tr>
      <w:tr>
        <w:tc>
          <w:tcPr>
            <w:tcW w:type="dxa" w:w="2530"/>
            <w:tcMar>
              <w:top w:w="40" w:type="dxa"/>
              <w:bottom w:w="40" w:type="dxa"/>
              <w:left w:w="60" w:type="dxa"/>
              <w:right w:w="60" w:type="dxa"/>
            </w:tcMar>
          </w:tcPr>
          <w:p>
            <w:pPr>
              <w:jc w:val="left"/>
            </w:pPr>
            <w:r>
              <w:rPr>
                <w:rFonts w:ascii="Times New Roman" w:hAnsi="Times New Roman"/>
                <w:sz w:val="15"/>
              </w:rPr>
              <w:t>Errors (out of 18)</w:t>
            </w:r>
          </w:p>
        </w:tc>
        <w:tc>
          <w:tcPr>
            <w:tcW w:type="dxa" w:w="2530"/>
            <w:tcMar>
              <w:top w:w="40" w:type="dxa"/>
              <w:bottom w:w="40" w:type="dxa"/>
              <w:left w:w="60" w:type="dxa"/>
              <w:right w:w="60" w:type="dxa"/>
            </w:tcMar>
          </w:tcPr>
          <w:p>
            <w:pPr>
              <w:jc w:val="center"/>
            </w:pPr>
            <w:r>
              <w:rPr>
                <w:rFonts w:ascii="Times New Roman" w:hAnsi="Times New Roman"/>
                <w:sz w:val="15"/>
              </w:rPr>
              <w:t>9</w:t>
            </w:r>
          </w:p>
        </w:tc>
        <w:tc>
          <w:tcPr>
            <w:tcW w:type="dxa" w:w="2530"/>
            <w:tcMar>
              <w:top w:w="40" w:type="dxa"/>
              <w:bottom w:w="40" w:type="dxa"/>
              <w:left w:w="60" w:type="dxa"/>
              <w:right w:w="60" w:type="dxa"/>
            </w:tcMar>
          </w:tcPr>
          <w:p>
            <w:pPr>
              <w:jc w:val="center"/>
            </w:pPr>
            <w:r>
              <w:rPr>
                <w:rFonts w:ascii="Times New Roman" w:hAnsi="Times New Roman"/>
                <w:sz w:val="15"/>
              </w:rPr>
              <w:t>6 (1 FN, 5 FP)</w:t>
            </w:r>
          </w:p>
        </w:tc>
        <w:tc>
          <w:tcPr>
            <w:tcW w:type="dxa" w:w="2530"/>
            <w:tcMar>
              <w:top w:w="40" w:type="dxa"/>
              <w:bottom w:w="40" w:type="dxa"/>
              <w:left w:w="60" w:type="dxa"/>
              <w:right w:w="60" w:type="dxa"/>
            </w:tcMar>
          </w:tcPr>
          <w:p>
            <w:pPr>
              <w:jc w:val="center"/>
            </w:pPr>
            <w:r>
              <w:rPr>
                <w:rFonts w:ascii="Times New Roman" w:hAnsi="Times New Roman"/>
                <w:b/>
                <w:sz w:val="15"/>
              </w:rPr>
              <w:t>3 (0 FN, 3 FP)</w:t>
            </w:r>
          </w:p>
        </w:tc>
      </w:tr>
    </w:tbl>
    <w:p>
      <w:pPr>
        <w:spacing w:after="120"/>
      </w:pPr>
    </w:p>
    <w:p>
      <w:pPr>
        <w:keepNext/>
        <w:spacing w:before="240" w:after="80"/>
        <w:jc w:val="center"/>
      </w:pPr>
      <w:r>
        <w:rPr>
          <w:rFonts w:ascii="Times New Roman" w:hAnsi="Times New Roman"/>
          <w:b/>
          <w:sz w:val="20"/>
        </w:rPr>
        <w:t>IX.   SYSTEM INTEGRATION &amp; VEHICULAR HUD</w:t>
      </w:r>
    </w:p>
    <w:p>
      <w:pPr>
        <w:spacing w:before="0" w:after="70" w:line="252" w:lineRule="auto"/>
        <w:ind w:firstLine="202"/>
        <w:jc w:val="both"/>
      </w:pPr>
      <w:r>
        <w:rPr>
          <w:rFonts w:ascii="Times New Roman" w:hAnsi="Times New Roman"/>
          <w:sz w:val="19"/>
        </w:rPr>
        <w:t>The user interface is engineered as a high-performance React 19 web application with dark glassmorphism HUD styling. Key capabilities include:</w:t>
      </w:r>
    </w:p>
    <w:p>
      <w:pPr>
        <w:spacing w:before="0" w:after="70" w:line="252" w:lineRule="auto"/>
        <w:ind w:firstLine="202"/>
        <w:jc w:val="both"/>
      </w:pPr>
      <w:r>
        <w:rPr>
          <w:rFonts w:ascii="Times New Roman" w:hAnsi="Times New Roman"/>
          <w:sz w:val="19"/>
        </w:rPr>
        <w:t>1) Tactical Leaflet &amp; Mapbox Mapping: Renders real-time GPS breadcrumbs, color-coded hazard circles, and dynamic A* bypass paths.</w:t>
      </w:r>
    </w:p>
    <w:p>
      <w:pPr>
        <w:spacing w:before="0" w:after="70" w:line="252" w:lineRule="auto"/>
        <w:ind w:firstLine="202"/>
        <w:jc w:val="both"/>
      </w:pPr>
      <w:r>
        <w:rPr>
          <w:rFonts w:ascii="Times New Roman" w:hAnsi="Times New Roman"/>
          <w:sz w:val="19"/>
        </w:rPr>
        <w:t>2) Overpass API Relief Node Discovery: Queries OpenStreetMap Overpass servers to discover emergency hospitals and shelters within a 15km perimeter.</w:t>
      </w:r>
    </w:p>
    <w:p>
      <w:pPr>
        <w:spacing w:before="0" w:after="70" w:line="252" w:lineRule="auto"/>
        <w:ind w:firstLine="202"/>
        <w:jc w:val="both"/>
      </w:pPr>
      <w:r>
        <w:rPr>
          <w:rFonts w:ascii="Times New Roman" w:hAnsi="Times New Roman"/>
          <w:sz w:val="19"/>
        </w:rPr>
        <w:t>3) Emergency SOS Beacon: Dispatches instant rescue telemetry with coordinates and hazard metadata to incident command headquarters.</w:t>
      </w:r>
    </w:p>
    <w:p>
      <w:pPr>
        <w:spacing w:before="0" w:after="70" w:line="252" w:lineRule="auto"/>
        <w:ind w:firstLine="202"/>
        <w:jc w:val="both"/>
      </w:pPr>
      <w:r>
        <w:rPr>
          <w:rFonts w:ascii="Times New Roman" w:hAnsi="Times New Roman"/>
          <w:sz w:val="19"/>
        </w:rPr>
        <w:t>4) Real-Time Latency: End-to-end processing pipeline runs in 58.2ms (YOLOv11s: 32.4ms, XGBoost: 4.1ms, Risk Engine: 0.8ms, A* Routing: 18.6ms), satisfying automotive real-time constraints.</w:t>
      </w:r>
    </w:p>
    <w:p>
      <w:pPr>
        <w:keepNext/>
        <w:spacing w:before="240" w:after="80"/>
        <w:jc w:val="center"/>
      </w:pPr>
      <w:r>
        <w:rPr>
          <w:rFonts w:ascii="Times New Roman" w:hAnsi="Times New Roman"/>
          <w:b/>
          <w:sz w:val="20"/>
        </w:rPr>
        <w:t>X.   OPERATIONAL CONSTRAINTS &amp; SAFETY DISCLAIMERS</w:t>
      </w:r>
    </w:p>
    <w:p>
      <w:pPr>
        <w:spacing w:before="0" w:after="70" w:line="252" w:lineRule="auto"/>
        <w:ind w:firstLine="202"/>
        <w:jc w:val="both"/>
      </w:pPr>
      <w:r>
        <w:rPr>
          <w:rFonts w:ascii="Times New Roman" w:hAnsi="Times New Roman"/>
          <w:sz w:val="19"/>
        </w:rPr>
        <w:t>In accordance with ISO 26262 automotive safety standards, IVADD operates strictly as a tactical driver advisory system. It is strictly prohibited from executing automated steering or automated emergency braking (AEB) intervention. Probability scores are uncalibrated ranking indices rather than exact Bayesian posteriors. Cross-basin transfers require regional recalibration to account for distinct geological infiltration and dam operational policies.</w:t>
      </w:r>
    </w:p>
    <w:p>
      <w:pPr>
        <w:keepNext/>
        <w:spacing w:before="240" w:after="80"/>
        <w:jc w:val="center"/>
      </w:pPr>
      <w:r>
        <w:rPr>
          <w:rFonts w:ascii="Times New Roman" w:hAnsi="Times New Roman"/>
          <w:b/>
          <w:sz w:val="20"/>
        </w:rPr>
        <w:t>XI.   CONCLUSION &amp; FUTURE DIRECTIONS</w:t>
      </w:r>
    </w:p>
    <w:p>
      <w:pPr>
        <w:spacing w:before="0" w:after="70" w:line="252" w:lineRule="auto"/>
        <w:ind w:firstLine="202"/>
        <w:jc w:val="both"/>
      </w:pPr>
      <w:r>
        <w:rPr>
          <w:rFonts w:ascii="Times New Roman" w:hAnsi="Times New Roman"/>
          <w:sz w:val="19"/>
        </w:rPr>
        <w:t>This research demonstrated an end-to-end intelligent vehicle assistance and emergency routing system. By integrating YOLOv11s deep computer vision with a hydrologically-grounded XGBoost V4 classifier utilizing European Space Agency Copernicus GLO-30 HAND metrics, the framework eliminates spatial memorization and achieves 100.0% recall on unseen road corridors. Coupled with an inverse-distance A* routing engine featuring raised-cosine Hann window lateral detours, the architecture guarantees safe, real-time vehicular navigation through severe disaster events. Future work will investigate Spatio-Temporal Graph Neural Networks and V2X mesh networking.</w:t>
      </w:r>
    </w:p>
    <w:p>
      <w:pPr>
        <w:keepNext/>
        <w:spacing w:before="240" w:after="80"/>
        <w:jc w:val="center"/>
      </w:pPr>
      <w:r>
        <w:rPr>
          <w:rFonts w:ascii="Times New Roman" w:hAnsi="Times New Roman"/>
          <w:b/>
          <w:sz w:val="20"/>
        </w:rPr>
        <w:t>XII.   REFERENCES</w:t>
      </w:r>
    </w:p>
    <w:p>
      <w:pPr>
        <w:spacing w:before="0" w:after="50" w:line="240" w:lineRule="auto"/>
        <w:ind w:left="360" w:hanging="360"/>
        <w:jc w:val="both"/>
      </w:pPr>
      <w:r>
        <w:rPr>
          <w:rFonts w:ascii="Times New Roman" w:hAnsi="Times New Roman"/>
          <w:sz w:val="16"/>
        </w:rPr>
        <w:t>[1] S. Rahnemoonfar et al., "FloodNet: A high-resolution aerial imagery dataset for post-disaster damage assessment," IEEE Transactions on Geoscience and Remote Sensing, vol. 59, no. 10, pp. 8487–8500, 2021.</w:t>
      </w:r>
    </w:p>
    <w:p>
      <w:pPr>
        <w:spacing w:before="0" w:after="50" w:line="240" w:lineRule="auto"/>
        <w:ind w:left="360" w:hanging="360"/>
        <w:jc w:val="both"/>
      </w:pPr>
      <w:r>
        <w:rPr>
          <w:rFonts w:ascii="Times New Roman" w:hAnsi="Times New Roman"/>
          <w:sz w:val="16"/>
        </w:rPr>
        <w:t>[2] D. Arya et al., "Global road damage detection: State-of-the-art solutions," IEEE Transactions on Intelligent Transportation Systems, vol. 24, no. 2, pp. 2415–2429, 2022.</w:t>
      </w:r>
    </w:p>
    <w:p>
      <w:pPr>
        <w:spacing w:before="0" w:after="50" w:line="240" w:lineRule="auto"/>
        <w:ind w:left="360" w:hanging="360"/>
        <w:jc w:val="both"/>
      </w:pPr>
      <w:r>
        <w:rPr>
          <w:rFonts w:ascii="Times New Roman" w:hAnsi="Times New Roman"/>
          <w:sz w:val="16"/>
        </w:rPr>
        <w:t>[3] A. Shamsoshoara et al., "Aerial imagery dataset for wildfire detection and approaching fire front monitoring," IEEE Access, vol. 9, pp. 78334–78345, 2021.</w:t>
      </w:r>
    </w:p>
    <w:p>
      <w:pPr>
        <w:spacing w:before="0" w:after="50" w:line="240" w:lineRule="auto"/>
        <w:ind w:left="360" w:hanging="360"/>
        <w:jc w:val="both"/>
      </w:pPr>
      <w:r>
        <w:rPr>
          <w:rFonts w:ascii="Times New Roman" w:hAnsi="Times New Roman"/>
          <w:sz w:val="16"/>
        </w:rPr>
        <w:t>[4] T. Chen and C. Guestrin, "XGBoost: A scalable tree boosting system," in Proc. ACM SIGKDD, 2016, pp. 785–794.</w:t>
      </w:r>
    </w:p>
    <w:p>
      <w:pPr>
        <w:spacing w:before="0" w:after="50" w:line="240" w:lineRule="auto"/>
        <w:ind w:left="360" w:hanging="360"/>
        <w:jc w:val="both"/>
      </w:pPr>
      <w:r>
        <w:rPr>
          <w:rFonts w:ascii="Times New Roman" w:hAnsi="Times New Roman"/>
          <w:sz w:val="16"/>
        </w:rPr>
        <w:t>[5] G. Joffre et al., "Ultralytics YOLOv11: Real-time object detection," Ultralytics Tech. Rep., 2024.</w:t>
      </w:r>
    </w:p>
    <w:p>
      <w:pPr>
        <w:spacing w:before="0" w:after="50" w:line="240" w:lineRule="auto"/>
        <w:ind w:left="360" w:hanging="360"/>
        <w:jc w:val="both"/>
      </w:pPr>
      <w:r>
        <w:rPr>
          <w:rFonts w:ascii="Times New Roman" w:hAnsi="Times New Roman"/>
          <w:sz w:val="16"/>
        </w:rPr>
        <w:t>[6] C. D. Rennó et al., "HAND, a new terrain descriptor using SRTM-DEM: Mapping terra-firme rainforest environments in Amazonia," Remote Sensing of Environment, vol. 112, no. 9, pp. 3469–3481, 2008.</w:t>
      </w:r>
    </w:p>
    <w:p>
      <w:pPr>
        <w:spacing w:before="0" w:after="50" w:line="240" w:lineRule="auto"/>
        <w:ind w:left="360" w:hanging="360"/>
        <w:jc w:val="both"/>
      </w:pPr>
      <w:r>
        <w:rPr>
          <w:rFonts w:ascii="Times New Roman" w:hAnsi="Times New Roman"/>
          <w:sz w:val="16"/>
        </w:rPr>
        <w:t>[7] A. D. Nobre et al., "Height Above the Nearest Drainage – a hydrologically normalized DEM reveals hidden water," Hydrology and Earth System Sciences, vol. 15, no. 2, pp. 405–417, 2011.</w:t>
      </w:r>
    </w:p>
    <w:p>
      <w:pPr>
        <w:spacing w:before="0" w:after="50" w:line="240" w:lineRule="auto"/>
        <w:ind w:left="360" w:hanging="360"/>
        <w:jc w:val="both"/>
      </w:pPr>
      <w:r>
        <w:rPr>
          <w:rFonts w:ascii="Times New Roman" w:hAnsi="Times New Roman"/>
          <w:sz w:val="16"/>
        </w:rPr>
        <w:t>[8] Central Water Commission, "IndoFloods Hydrological Network," Ministry of Jal Shakti, Government of India, 2023.</w:t>
      </w:r>
    </w:p>
    <w:p>
      <w:pPr>
        <w:spacing w:before="0" w:after="50" w:line="240" w:lineRule="auto"/>
        <w:ind w:left="360" w:hanging="360"/>
        <w:jc w:val="both"/>
      </w:pPr>
      <w:r>
        <w:rPr>
          <w:rFonts w:ascii="Times New Roman" w:hAnsi="Times New Roman"/>
          <w:sz w:val="16"/>
        </w:rPr>
        <w:t>[9] European Space Agency, "Copernicus Global Digital Elevation Model (GLO-30)," ESA, 2021.</w:t>
      </w:r>
    </w:p>
    <w:p>
      <w:pPr>
        <w:spacing w:before="0" w:after="50" w:line="240" w:lineRule="auto"/>
        <w:ind w:left="360" w:hanging="360"/>
        <w:jc w:val="both"/>
      </w:pPr>
      <w:r>
        <w:rPr>
          <w:rFonts w:ascii="Times New Roman" w:hAnsi="Times New Roman"/>
          <w:sz w:val="16"/>
        </w:rPr>
        <w:t>[10] P. E. Hart, N. J. Nilsson, and B. Raphael, "A formal basis for the heuristic determination of minimum cost paths," IEEE Trans. Systems Science and Cybernetics, vol. 4, no. 2, pp. 100–107, 1968.</w:t>
      </w:r>
    </w:p>
    <w:p>
      <w:pPr>
        <w:spacing w:before="0" w:after="50" w:line="240" w:lineRule="auto"/>
        <w:ind w:left="360" w:hanging="360"/>
        <w:jc w:val="both"/>
      </w:pPr>
      <w:r>
        <w:rPr>
          <w:rFonts w:ascii="Times New Roman" w:hAnsi="Times New Roman"/>
          <w:sz w:val="16"/>
        </w:rPr>
        <w:t>[11] E. W. Dijkstra, "A note on two problems in connexion with graphs," Numerische Mathematik, vol. 1, no. 1, pp. 269–271, 1959.</w:t>
      </w:r>
    </w:p>
    <w:p>
      <w:pPr>
        <w:spacing w:before="0" w:after="50" w:line="240" w:lineRule="auto"/>
        <w:ind w:left="360" w:hanging="360"/>
        <w:jc w:val="both"/>
      </w:pPr>
      <w:r>
        <w:rPr>
          <w:rFonts w:ascii="Times New Roman" w:hAnsi="Times New Roman"/>
          <w:sz w:val="16"/>
        </w:rPr>
        <w:t>[12] J. Hersbach et al., "The ERA5 global reanalysis," QJRMS, vol. 146, no. 730, pp. 1999–2049, 2020.</w:t>
      </w:r>
    </w:p>
    <w:p>
      <w:pPr>
        <w:spacing w:before="0" w:after="50" w:line="240" w:lineRule="auto"/>
        <w:ind w:left="360" w:hanging="360"/>
        <w:jc w:val="both"/>
      </w:pPr>
      <w:r>
        <w:rPr>
          <w:rFonts w:ascii="Times New Roman" w:hAnsi="Times New Roman"/>
          <w:sz w:val="16"/>
        </w:rPr>
        <w:t>[13] ISO/TC 22/SC 32, "Road vehicles — Functional safety (ISO 26262)," ISO Standard, 2018.</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