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t>
      </w:r>
    </w:p>
    <w:p>
      <w:pPr>
        <w:spacing w:after="120"/>
        <w:jc w:val="center"/>
      </w:pPr>
      <w:r>
        <w:rPr>
          <w:rFonts w:ascii="Arial" w:cs="Arial" w:eastAsia="Arial" w:hAnsi="Arial"/>
          <w:b/>
          <w:bCs/>
          <w:color w:val="E31837"/>
          <w:sz w:val="64"/>
          <w:szCs w:val="64"/>
        </w:rPr>
        <w:t xml:space="preserve">JACK LINK’S</w:t>
      </w:r>
    </w:p>
    <w:p>
      <w:pPr>
        <w:spacing w:after="600"/>
        <w:jc w:val="center"/>
      </w:pPr>
      <w:r>
        <w:rPr>
          <w:rFonts w:ascii="Arial" w:cs="Arial" w:eastAsia="Arial" w:hAnsi="Arial"/>
          <w:b/>
          <w:bCs/>
          <w:color w:val="1A1A1A"/>
          <w:sz w:val="32"/>
          <w:szCs w:val="32"/>
        </w:rPr>
        <w:t xml:space="preserve">MEAT INTELLIGENCE DASHBOARD</w:t>
      </w:r>
    </w:p>
    <w:p>
      <w:pPr>
        <w:pBdr>
          <w:top w:val="single" w:color="E31837" w:sz="24" w:space="8"/>
          <w:bottom w:val="single" w:color="E31837" w:sz="24" w:space="8"/>
        </w:pBdr>
        <w:spacing w:after="240" w:before="240"/>
        <w:jc w:val="center"/>
      </w:pPr>
      <w:r>
        <w:rPr>
          <w:rFonts w:ascii="Arial" w:cs="Arial" w:eastAsia="Arial" w:hAnsi="Arial"/>
          <w:b/>
          <w:bCs/>
          <w:color w:val="8B4513"/>
          <w:sz w:val="28"/>
          <w:szCs w:val="28"/>
        </w:rPr>
        <w:t xml:space="preserve">Architecture  ·  Data  ·  Models  ·  Transparency</w:t>
      </w:r>
    </w:p>
    <w:p>
      <w:pPr>
        <w:spacing w:before="1600"/>
      </w:pPr>
      <w:r>
        <w:t xml:space="preserve"> </w:t>
      </w:r>
    </w:p>
    <w:p>
      <w:pPr>
        <w:spacing w:after="120"/>
        <w:jc w:val="center"/>
      </w:pPr>
      <w:r>
        <w:rPr>
          <w:rFonts w:ascii="Arial" w:cs="Arial" w:eastAsia="Arial" w:hAnsi="Arial"/>
          <w:i/>
          <w:iCs/>
          <w:color w:val="6B7280"/>
          <w:sz w:val="22"/>
          <w:szCs w:val="22"/>
        </w:rPr>
        <w:t xml:space="preserve">Prepared for Jack Link’s procurement leadership</w:t>
      </w:r>
    </w:p>
    <w:p>
      <w:pPr>
        <w:spacing w:after="60"/>
        <w:jc w:val="center"/>
      </w:pPr>
      <w:r>
        <w:rPr>
          <w:rFonts w:ascii="Arial" w:cs="Arial" w:eastAsia="Arial" w:hAnsi="Arial"/>
          <w:color w:val="374151"/>
          <w:sz w:val="22"/>
          <w:szCs w:val="22"/>
        </w:rPr>
        <w:t xml:space="preserve">Version 2.0  ·  April 19, 2026</w:t>
      </w:r>
    </w:p>
    <w:p>
      <w:pPr>
        <w:spacing w:after="600"/>
        <w:jc w:val="center"/>
      </w:pPr>
      <w:r>
        <w:rPr>
          <w:rFonts w:ascii="Arial" w:cs="Arial" w:eastAsia="Arial" w:hAnsi="Arial"/>
          <w:color w:val="374151"/>
          <w:sz w:val="22"/>
          <w:szCs w:val="22"/>
        </w:rPr>
        <w:t xml:space="preserve">Nagarjun Parvath</w:t>
      </w:r>
    </w:p>
    <w:p>
      <w:r>
        <w:br w:type="page"/>
      </w:r>
    </w:p>
    <w:p>
      <w:pPr>
        <w:pStyle w:val="Heading1"/>
        <w:pBdr>
          <w:bottom w:val="single" w:color="E31837" w:sz="18" w:space="4"/>
        </w:pBdr>
        <w:spacing w:after="180" w:before="360"/>
      </w:pPr>
      <w:r>
        <w:rPr>
          <w:rFonts w:ascii="Arial" w:cs="Arial" w:eastAsia="Arial" w:hAnsi="Arial"/>
          <w:b/>
          <w:bCs/>
          <w:color w:val="1A1A1A"/>
          <w:sz w:val="34"/>
          <w:szCs w:val="34"/>
        </w:rPr>
        <w:t xml:space="preserve">1. Reading This Document</w:t>
      </w:r>
    </w:p>
    <w:p>
      <w:pPr>
        <w:spacing w:after="180" w:before="0"/>
        <w:jc w:val="left"/>
      </w:pPr>
      <w:r>
        <w:rPr>
          <w:rFonts w:ascii="Arial" w:cs="Arial" w:eastAsia="Arial" w:hAnsi="Arial"/>
          <w:b w:val="false"/>
          <w:bCs w:val="false"/>
          <w:i w:val="false"/>
          <w:iCs w:val="false"/>
          <w:color w:val="1A1A1A"/>
          <w:sz w:val="22"/>
          <w:szCs w:val="22"/>
        </w:rPr>
        <w:t xml:space="preserve">This document serves one purpose: full transparency about what the dashboard does, what data feeds it, and what should and should not drive procurement decisions.</w:t>
      </w:r>
    </w:p>
    <w:tbl>
      <w:tblPr>
        <w:tblW w:type="dxa" w:w="9360"/>
        <w:tblBorders>
          <w:top w:val="single" w:color="E31837" w:sz="12"/>
          <w:left w:val="single" w:color="E31837" w:sz="12"/>
          <w:bottom w:val="single" w:color="E31837" w:sz="12"/>
          <w:right w:val="single" w:color="E31837" w:sz="12"/>
          <w:insideH w:val="single" w:color="auto" w:sz="4"/>
          <w:insideV w:val="single" w:color="auto" w:sz="4"/>
        </w:tblBorders>
      </w:tblPr>
      <w:tblGrid>
        <w:gridCol w:w="9360"/>
      </w:tblGrid>
      <w:tr>
        <w:tc>
          <w:tcPr>
            <w:tcW w:type="dxa" w:w="9360"/>
            <w:tcBorders>
              <w:top w:val="single" w:color="E31837" w:sz="12"/>
              <w:left w:val="single" w:color="E31837" w:sz="12"/>
              <w:bottom w:val="single" w:color="E31837" w:sz="12"/>
              <w:right w:val="single" w:color="E31837" w:sz="12"/>
            </w:tcBorders>
            <w:shd w:fill="FEE2E2" w:val="clear"/>
            <w:tcMar>
              <w:top w:type="dxa" w:w="200"/>
              <w:left w:type="dxa" w:w="260"/>
              <w:bottom w:type="dxa" w:w="200"/>
              <w:right w:type="dxa" w:w="260"/>
            </w:tcMar>
          </w:tcPr>
          <w:p>
            <w:pPr>
              <w:spacing w:after="100"/>
            </w:pPr>
            <w:r>
              <w:rPr>
                <w:rFonts w:ascii="Arial" w:cs="Arial" w:eastAsia="Arial" w:hAnsi="Arial"/>
                <w:b/>
                <w:bCs/>
                <w:color w:val="E31837"/>
                <w:sz w:val="26"/>
                <w:szCs w:val="26"/>
              </w:rPr>
              <w:t xml:space="preserve">TRANSPARENCY STATEMENT</w:t>
            </w:r>
          </w:p>
          <w:p>
            <w:r>
              <w:rPr>
                <w:rFonts w:ascii="Arial" w:cs="Arial" w:eastAsia="Arial" w:hAnsi="Arial"/>
                <w:color w:val="1A1A1A"/>
                <w:sz w:val="22"/>
                <w:szCs w:val="22"/>
              </w:rPr>
              <w:t xml:space="preserve">Roughly 52% of the values on the Meat Intelligence Dashboard are decision-grade (real USDA data or backtested model output). Another 20% are directional parametric estimates. The remaining 28% are narrative scaffolding or placeholders. This document shows you exactly which is which, and includes the actual code that produces every number.</w:t>
            </w:r>
          </w:p>
        </w:tc>
      </w:tr>
    </w:tbl>
    <w:p>
      <w:pPr>
        <w:spacing w:before="240"/>
      </w:pPr>
      <w:r>
        <w:t xml:space="preserve"> </w:t>
      </w:r>
    </w:p>
    <w:p>
      <w:pPr>
        <w:pStyle w:val="Heading2"/>
        <w:spacing w:after="120" w:before="280"/>
      </w:pPr>
      <w:r>
        <w:rPr>
          <w:rFonts w:ascii="Arial" w:cs="Arial" w:eastAsia="Arial" w:hAnsi="Arial"/>
          <w:b/>
          <w:bCs/>
          <w:color w:val="E31837"/>
          <w:sz w:val="26"/>
          <w:szCs w:val="26"/>
        </w:rPr>
        <w:t xml:space="preserve">Document Sections</w:t>
      </w:r>
    </w:p>
    <w:p>
      <w:pPr>
        <w:pStyle w:val="ListParagraph"/>
        <w:numPr>
          <w:ilvl w:val="0"/>
          <w:numId w:val="2"/>
        </w:numPr>
        <w:spacing w:after="60"/>
      </w:pPr>
      <w:r>
        <w:rPr>
          <w:rFonts w:ascii="Arial" w:cs="Arial" w:eastAsia="Arial" w:hAnsi="Arial"/>
          <w:b w:val="false"/>
          <w:bCs w:val="false"/>
          <w:color w:val="1A1A1A"/>
          <w:sz w:val="22"/>
          <w:szCs w:val="22"/>
        </w:rPr>
        <w:t xml:space="preserve">Section 2 — Data Reality Breakdown  (the tier system: green, yellow, red)</w:t>
      </w:r>
    </w:p>
    <w:p>
      <w:pPr>
        <w:pStyle w:val="ListParagraph"/>
        <w:numPr>
          <w:ilvl w:val="0"/>
          <w:numId w:val="2"/>
        </w:numPr>
        <w:spacing w:after="60"/>
      </w:pPr>
      <w:r>
        <w:rPr>
          <w:rFonts w:ascii="Arial" w:cs="Arial" w:eastAsia="Arial" w:hAnsi="Arial"/>
          <w:b w:val="false"/>
          <w:bCs w:val="false"/>
          <w:color w:val="1A1A1A"/>
          <w:sz w:val="22"/>
          <w:szCs w:val="22"/>
        </w:rPr>
        <w:t xml:space="preserve">Section 3 — System Architecture  (how data flows end-to-end)</w:t>
      </w:r>
    </w:p>
    <w:p>
      <w:pPr>
        <w:pStyle w:val="ListParagraph"/>
        <w:numPr>
          <w:ilvl w:val="0"/>
          <w:numId w:val="2"/>
        </w:numPr>
        <w:spacing w:after="60"/>
      </w:pPr>
      <w:r>
        <w:rPr>
          <w:rFonts w:ascii="Arial" w:cs="Arial" w:eastAsia="Arial" w:hAnsi="Arial"/>
          <w:b w:val="false"/>
          <w:bCs w:val="false"/>
          <w:color w:val="1A1A1A"/>
          <w:sz w:val="22"/>
          <w:szCs w:val="22"/>
        </w:rPr>
        <w:t xml:space="preserve">Section 4 — Data Sources  (USDA MPR API and daily PDFs)</w:t>
      </w:r>
    </w:p>
    <w:p>
      <w:pPr>
        <w:pStyle w:val="ListParagraph"/>
        <w:numPr>
          <w:ilvl w:val="0"/>
          <w:numId w:val="2"/>
        </w:numPr>
        <w:spacing w:after="60"/>
      </w:pPr>
      <w:r>
        <w:rPr>
          <w:rFonts w:ascii="Arial" w:cs="Arial" w:eastAsia="Arial" w:hAnsi="Arial"/>
          <w:b w:val="false"/>
          <w:bCs w:val="false"/>
          <w:color w:val="1A1A1A"/>
          <w:sz w:val="22"/>
          <w:szCs w:val="22"/>
        </w:rPr>
        <w:t xml:space="preserve">Section 5 — Forecasting Methodology  (code, features, backtest gate)</w:t>
      </w:r>
    </w:p>
    <w:p>
      <w:pPr>
        <w:pStyle w:val="ListParagraph"/>
        <w:numPr>
          <w:ilvl w:val="0"/>
          <w:numId w:val="2"/>
        </w:numPr>
        <w:spacing w:after="60"/>
      </w:pPr>
      <w:r>
        <w:rPr>
          <w:rFonts w:ascii="Arial" w:cs="Arial" w:eastAsia="Arial" w:hAnsi="Arial"/>
          <w:b w:val="false"/>
          <w:bCs w:val="false"/>
          <w:color w:val="1A1A1A"/>
          <w:sz w:val="22"/>
          <w:szCs w:val="22"/>
        </w:rPr>
        <w:t xml:space="preserve">Section 6 — Backtest Results  (RMSE evidence per cut and horizon)</w:t>
      </w:r>
    </w:p>
    <w:p>
      <w:pPr>
        <w:pStyle w:val="ListParagraph"/>
        <w:numPr>
          <w:ilvl w:val="0"/>
          <w:numId w:val="2"/>
        </w:numPr>
        <w:spacing w:after="60"/>
      </w:pPr>
      <w:r>
        <w:rPr>
          <w:rFonts w:ascii="Arial" w:cs="Arial" w:eastAsia="Arial" w:hAnsi="Arial"/>
          <w:b w:val="false"/>
          <w:bCs w:val="false"/>
          <w:color w:val="1A1A1A"/>
          <w:sz w:val="22"/>
          <w:szCs w:val="22"/>
        </w:rPr>
        <w:t xml:space="preserve">Section 7 — Operational Runbook  (how to run and schedule the pipeline)</w:t>
      </w:r>
    </w:p>
    <w:p>
      <w:pPr>
        <w:pStyle w:val="ListParagraph"/>
        <w:numPr>
          <w:ilvl w:val="0"/>
          <w:numId w:val="2"/>
        </w:numPr>
        <w:spacing w:after="60"/>
      </w:pPr>
      <w:r>
        <w:rPr>
          <w:rFonts w:ascii="Arial" w:cs="Arial" w:eastAsia="Arial" w:hAnsi="Arial"/>
          <w:b w:val="false"/>
          <w:bCs w:val="false"/>
          <w:color w:val="1A1A1A"/>
          <w:sz w:val="22"/>
          <w:szCs w:val="22"/>
        </w:rPr>
        <w:t xml:space="preserve">Section 8 — Known Limitations  (what could be wrong, and why)</w:t>
      </w:r>
    </w:p>
    <w:p>
      <w:pPr>
        <w:pStyle w:val="ListParagraph"/>
        <w:numPr>
          <w:ilvl w:val="0"/>
          <w:numId w:val="2"/>
        </w:numPr>
        <w:spacing w:after="60"/>
      </w:pPr>
      <w:r>
        <w:rPr>
          <w:rFonts w:ascii="Arial" w:cs="Arial" w:eastAsia="Arial" w:hAnsi="Arial"/>
          <w:b w:val="false"/>
          <w:bCs w:val="false"/>
          <w:color w:val="1A1A1A"/>
          <w:sz w:val="22"/>
          <w:szCs w:val="22"/>
        </w:rPr>
        <w:t xml:space="preserve">Section 9 — Roadmap  (v2 → v3 → v4)</w:t>
      </w:r>
    </w:p>
    <w:p>
      <w:r>
        <w:br w:type="page"/>
      </w:r>
    </w:p>
    <w:p>
      <w:pPr>
        <w:pStyle w:val="Heading1"/>
        <w:pBdr>
          <w:bottom w:val="single" w:color="E31837" w:sz="18" w:space="4"/>
        </w:pBdr>
        <w:spacing w:after="180" w:before="360"/>
      </w:pPr>
      <w:r>
        <w:rPr>
          <w:rFonts w:ascii="Arial" w:cs="Arial" w:eastAsia="Arial" w:hAnsi="Arial"/>
          <w:b/>
          <w:bCs/>
          <w:color w:val="1A1A1A"/>
          <w:sz w:val="34"/>
          <w:szCs w:val="34"/>
        </w:rPr>
        <w:t xml:space="preserve">2. Data Reality Breakdown</w:t>
      </w:r>
    </w:p>
    <w:p>
      <w:pPr>
        <w:spacing w:after="200" w:before="0"/>
        <w:jc w:val="left"/>
      </w:pPr>
      <w:r>
        <w:rPr>
          <w:rFonts w:ascii="Arial" w:cs="Arial" w:eastAsia="Arial" w:hAnsi="Arial"/>
          <w:b w:val="false"/>
          <w:bCs w:val="false"/>
          <w:i w:val="false"/>
          <w:iCs w:val="false"/>
          <w:color w:val="1A1A1A"/>
          <w:sz w:val="22"/>
          <w:szCs w:val="22"/>
        </w:rPr>
        <w:t xml:space="preserve">Every data element on the dashboard falls into one of three tiers. Your job as a procurement decision-maker is to know which tier any given number belongs to before acting on it.</w:t>
      </w:r>
    </w:p>
    <w:tbl>
      <w:tblPr>
        <w:tblW w:type="dxa" w:w="9360"/>
        <w:tblBorders>
          <w:top w:val="single" w:color="2F4F2F" w:sz="4"/>
          <w:left w:val="single" w:color="2F4F2F" w:sz="4"/>
          <w:bottom w:val="single" w:color="2F4F2F" w:sz="4"/>
          <w:right w:val="single" w:color="2F4F2F"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2F4F2F" w:val="clear"/>
          </w:tcPr>
          <w:p>
            <w:r>
              <w:rPr>
                <w:sz w:val="4"/>
                <w:szCs w:val="4"/>
              </w:rPr>
              <w:t xml:space="preserve"> </w:t>
            </w:r>
          </w:p>
        </w:tc>
        <w:tc>
          <w:tcPr>
            <w:tcW w:type="dxa" w:w="9180"/>
            <w:tcBorders>
              <w:top w:val="none" w:color="FFFFFF" w:sz="0"/>
              <w:left w:val="none" w:color="FFFFFF" w:sz="0"/>
              <w:bottom w:val="none" w:color="FFFFFF" w:sz="0"/>
              <w:right w:val="none" w:color="FFFFFF" w:sz="0"/>
            </w:tcBorders>
            <w:shd w:fill="D1FAE5" w:val="clear"/>
            <w:tcMar>
              <w:top w:type="dxa" w:w="160"/>
              <w:left w:type="dxa" w:w="240"/>
              <w:bottom w:type="dxa" w:w="160"/>
              <w:right w:type="dxa" w:w="200"/>
            </w:tcMar>
          </w:tcPr>
          <w:p>
            <w:pPr>
              <w:spacing w:after="80"/>
            </w:pPr>
            <w:r>
              <w:rPr>
                <w:rFonts w:ascii="Arial" w:cs="Arial" w:eastAsia="Arial" w:hAnsi="Arial"/>
                <w:b/>
                <w:bCs/>
                <w:color w:val="2F4F2F"/>
                <w:sz w:val="24"/>
                <w:szCs w:val="24"/>
              </w:rPr>
              <w:t xml:space="preserve">DECISION-GRADE</w:t>
            </w:r>
            <w:r>
              <w:rPr>
                <w:rFonts w:ascii="Arial" w:cs="Arial" w:eastAsia="Arial" w:hAnsi="Arial"/>
                <w:b/>
                <w:bCs/>
                <w:color w:val="1A1A1A"/>
                <w:sz w:val="28"/>
                <w:szCs w:val="28"/>
              </w:rPr>
              <w:t xml:space="preserve">   ~52%</w:t>
            </w:r>
          </w:p>
          <w:p>
            <w:r>
              <w:rPr>
                <w:rFonts w:ascii="Arial" w:cs="Arial" w:eastAsia="Arial" w:hAnsi="Arial"/>
                <w:color w:val="1A1A1A"/>
                <w:sz w:val="20"/>
                <w:szCs w:val="20"/>
              </w:rPr>
              <w:t xml:space="preserve">Real USDA data (today’s prices, primal cutouts, weighted averages) plus forecasts from quantile gradient-boosting models that beat the seasonal-naive baseline on held-out data. These are the numbers you can confidently use for contracting, hedging, and buy-timing decisions.</w:t>
            </w:r>
          </w:p>
        </w:tc>
      </w:tr>
    </w:tbl>
    <w:p>
      <w:pPr>
        <w:spacing w:before="160"/>
      </w:pPr>
      <w:r>
        <w:t xml:space="preserve"> </w:t>
      </w:r>
    </w:p>
    <w:tbl>
      <w:tblPr>
        <w:tblW w:type="dxa" w:w="9360"/>
        <w:tblBorders>
          <w:top w:val="single" w:color="92400E" w:sz="4"/>
          <w:left w:val="single" w:color="92400E" w:sz="4"/>
          <w:bottom w:val="single" w:color="92400E" w:sz="4"/>
          <w:right w:val="single" w:color="92400E"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92400E" w:val="clear"/>
          </w:tcPr>
          <w:p>
            <w:r>
              <w:rPr>
                <w:sz w:val="4"/>
                <w:szCs w:val="4"/>
              </w:rPr>
              <w:t xml:space="preserve"> </w:t>
            </w:r>
          </w:p>
        </w:tc>
        <w:tc>
          <w:tcPr>
            <w:tcW w:type="dxa" w:w="9180"/>
            <w:tcBorders>
              <w:top w:val="none" w:color="FFFFFF" w:sz="0"/>
              <w:left w:val="none" w:color="FFFFFF" w:sz="0"/>
              <w:bottom w:val="none" w:color="FFFFFF" w:sz="0"/>
              <w:right w:val="none" w:color="FFFFFF" w:sz="0"/>
            </w:tcBorders>
            <w:shd w:fill="FEF3C7" w:val="clear"/>
            <w:tcMar>
              <w:top w:type="dxa" w:w="160"/>
              <w:left w:type="dxa" w:w="240"/>
              <w:bottom w:type="dxa" w:w="160"/>
              <w:right w:type="dxa" w:w="200"/>
            </w:tcMar>
          </w:tcPr>
          <w:p>
            <w:pPr>
              <w:spacing w:after="80"/>
            </w:pPr>
            <w:r>
              <w:rPr>
                <w:rFonts w:ascii="Arial" w:cs="Arial" w:eastAsia="Arial" w:hAnsi="Arial"/>
                <w:b/>
                <w:bCs/>
                <w:color w:val="92400E"/>
                <w:sz w:val="24"/>
                <w:szCs w:val="24"/>
              </w:rPr>
              <w:t xml:space="preserve">DIRECTIONAL ONLY</w:t>
            </w:r>
            <w:r>
              <w:rPr>
                <w:rFonts w:ascii="Arial" w:cs="Arial" w:eastAsia="Arial" w:hAnsi="Arial"/>
                <w:b/>
                <w:bCs/>
                <w:color w:val="1A1A1A"/>
                <w:sz w:val="28"/>
                <w:szCs w:val="28"/>
              </w:rPr>
              <w:t xml:space="preserve">   ~20%</w:t>
            </w:r>
          </w:p>
          <w:p>
            <w:r>
              <w:rPr>
                <w:rFonts w:ascii="Arial" w:cs="Arial" w:eastAsia="Arial" w:hAnsi="Arial"/>
                <w:color w:val="1A1A1A"/>
                <w:sz w:val="20"/>
                <w:szCs w:val="20"/>
              </w:rPr>
              <w:t xml:space="preserve">Parametric seasonal-drift forecasts anchored to today’s real USDA anchor price. Every parameter (drift, volatility, seasonality) is a business-interpretable prior set in forecast_cuts.py. Useful for direction and magnitude, not exact values.</w:t>
            </w:r>
          </w:p>
        </w:tc>
      </w:tr>
    </w:tbl>
    <w:p>
      <w:pPr>
        <w:spacing w:before="160"/>
      </w:pPr>
      <w:r>
        <w:t xml:space="preserve"> </w:t>
      </w:r>
    </w:p>
    <w:tbl>
      <w:tblPr>
        <w:tblW w:type="dxa" w:w="9360"/>
        <w:tblBorders>
          <w:top w:val="single" w:color="991B1B" w:sz="4"/>
          <w:left w:val="single" w:color="991B1B" w:sz="4"/>
          <w:bottom w:val="single" w:color="991B1B" w:sz="4"/>
          <w:right w:val="single" w:color="991B1B"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991B1B" w:val="clear"/>
          </w:tcPr>
          <w:p>
            <w:r>
              <w:rPr>
                <w:sz w:val="4"/>
                <w:szCs w:val="4"/>
              </w:rPr>
              <w:t xml:space="preserve"> </w:t>
            </w:r>
          </w:p>
        </w:tc>
        <w:tc>
          <w:tcPr>
            <w:tcW w:type="dxa" w:w="9180"/>
            <w:tcBorders>
              <w:top w:val="none" w:color="FFFFFF" w:sz="0"/>
              <w:left w:val="none" w:color="FFFFFF" w:sz="0"/>
              <w:bottom w:val="none" w:color="FFFFFF" w:sz="0"/>
              <w:right w:val="none" w:color="FFFFFF" w:sz="0"/>
            </w:tcBorders>
            <w:shd w:fill="FEE2E2" w:val="clear"/>
            <w:tcMar>
              <w:top w:type="dxa" w:w="160"/>
              <w:left w:type="dxa" w:w="240"/>
              <w:bottom w:type="dxa" w:w="160"/>
              <w:right w:type="dxa" w:w="200"/>
            </w:tcMar>
          </w:tcPr>
          <w:p>
            <w:pPr>
              <w:spacing w:after="80"/>
            </w:pPr>
            <w:r>
              <w:rPr>
                <w:rFonts w:ascii="Arial" w:cs="Arial" w:eastAsia="Arial" w:hAnsi="Arial"/>
                <w:b/>
                <w:bCs/>
                <w:color w:val="991B1B"/>
                <w:sz w:val="24"/>
                <w:szCs w:val="24"/>
              </w:rPr>
              <w:t xml:space="preserve">NARRATIVE / PLACEHOLDER</w:t>
            </w:r>
            <w:r>
              <w:rPr>
                <w:rFonts w:ascii="Arial" w:cs="Arial" w:eastAsia="Arial" w:hAnsi="Arial"/>
                <w:b/>
                <w:bCs/>
                <w:color w:val="1A1A1A"/>
                <w:sz w:val="28"/>
                <w:szCs w:val="28"/>
              </w:rPr>
              <w:t xml:space="preserve">   ~28%</w:t>
            </w:r>
          </w:p>
          <w:p>
            <w:r>
              <w:rPr>
                <w:rFonts w:ascii="Arial" w:cs="Arial" w:eastAsia="Arial" w:hAnsi="Arial"/>
                <w:color w:val="1A1A1A"/>
                <w:sz w:val="20"/>
                <w:szCs w:val="20"/>
              </w:rPr>
              <w:t xml:space="preserve">Hardcoded values, fabricated historical chart lines, and narrative context panels. International sourcing tables, drought indices, procurement playbook text, and the three beef primal cards (Chuck Roll, Strip Loin, Ribeye) all fall here.</w:t>
            </w:r>
          </w:p>
        </w:tc>
      </w:tr>
    </w:tbl>
    <w:p>
      <w:pPr>
        <w:spacing w:before="360"/>
      </w:pPr>
      <w:r>
        <w:t xml:space="preserve"> </w:t>
      </w:r>
    </w:p>
    <w:p>
      <w:pPr>
        <w:pStyle w:val="Heading2"/>
        <w:spacing w:after="120" w:before="280"/>
      </w:pPr>
      <w:r>
        <w:rPr>
          <w:rFonts w:ascii="Arial" w:cs="Arial" w:eastAsia="Arial" w:hAnsi="Arial"/>
          <w:b/>
          <w:bCs/>
          <w:color w:val="E31837"/>
          <w:sz w:val="26"/>
          <w:szCs w:val="26"/>
        </w:rPr>
        <w:t xml:space="preserve">How to tell for any element</w:t>
      </w:r>
    </w:p>
    <w:p>
      <w:pPr>
        <w:pStyle w:val="ListParagraph"/>
        <w:numPr>
          <w:ilvl w:val="0"/>
          <w:numId w:val="2"/>
        </w:numPr>
        <w:spacing w:after="60"/>
      </w:pPr>
      <w:r>
        <w:rPr>
          <w:rFonts w:ascii="Arial" w:cs="Arial" w:eastAsia="Arial" w:hAnsi="Arial"/>
          <w:b/>
          <w:bCs/>
          <w:i w:val="false"/>
          <w:iCs w:val="false"/>
          <w:color w:val="1A1A1A"/>
          <w:sz w:val="22"/>
          <w:szCs w:val="22"/>
        </w:rPr>
        <w:t xml:space="preserve">Green CONFIRMED badge</w:t>
      </w:r>
      <w:r>
        <w:rPr>
          <w:rFonts w:ascii="Arial" w:cs="Arial" w:eastAsia="Arial" w:hAnsi="Arial"/>
          <w:b w:val="false"/>
          <w:bCs w:val="false"/>
          <w:i w:val="false"/>
          <w:iCs w:val="false"/>
          <w:color w:val="1A1A1A"/>
          <w:sz w:val="22"/>
          <w:szCs w:val="22"/>
        </w:rPr>
        <w:t xml:space="preserve"> on a tile → the price came from today’s USDA PDF.</w:t>
      </w:r>
    </w:p>
    <w:p>
      <w:pPr>
        <w:pStyle w:val="ListParagraph"/>
        <w:numPr>
          <w:ilvl w:val="0"/>
          <w:numId w:val="2"/>
        </w:numPr>
        <w:spacing w:after="60"/>
      </w:pPr>
      <w:r>
        <w:rPr>
          <w:rFonts w:ascii="Arial" w:cs="Arial" w:eastAsia="Arial" w:hAnsi="Arial"/>
          <w:b/>
          <w:bCs/>
          <w:i w:val="false"/>
          <w:iCs w:val="false"/>
          <w:color w:val="1A1A1A"/>
          <w:sz w:val="22"/>
          <w:szCs w:val="22"/>
        </w:rPr>
        <w:t xml:space="preserve">Green LIVE USDA DATA pill</w:t>
      </w:r>
      <w:r>
        <w:rPr>
          <w:rFonts w:ascii="Arial" w:cs="Arial" w:eastAsia="Arial" w:hAnsi="Arial"/>
          <w:b w:val="false"/>
          <w:bCs w:val="false"/>
          <w:i w:val="false"/>
          <w:iCs w:val="false"/>
          <w:color w:val="1A1A1A"/>
          <w:sz w:val="22"/>
          <w:szCs w:val="22"/>
        </w:rPr>
        <w:t xml:space="preserve"> in the bottom-right of the dashboard → the pipeline ran successfully today.</w:t>
      </w:r>
    </w:p>
    <w:p>
      <w:pPr>
        <w:pStyle w:val="ListParagraph"/>
        <w:numPr>
          <w:ilvl w:val="0"/>
          <w:numId w:val="2"/>
        </w:numPr>
        <w:spacing w:after="60"/>
      </w:pPr>
      <w:r>
        <w:rPr>
          <w:rFonts w:ascii="Arial" w:cs="Arial" w:eastAsia="Arial" w:hAnsi="Arial"/>
          <w:b/>
          <w:bCs/>
          <w:i w:val="false"/>
          <w:iCs w:val="false"/>
          <w:color w:val="1A1A1A"/>
          <w:sz w:val="22"/>
          <w:szCs w:val="22"/>
        </w:rPr>
        <w:t xml:space="preserve">Chart solid historical line</w:t>
      </w:r>
      <w:r>
        <w:rPr>
          <w:rFonts w:ascii="Arial" w:cs="Arial" w:eastAsia="Arial" w:hAnsi="Arial"/>
          <w:b w:val="false"/>
          <w:bCs w:val="false"/>
          <w:i w:val="false"/>
          <w:iCs w:val="false"/>
          <w:color w:val="1A1A1A"/>
          <w:sz w:val="22"/>
          <w:szCs w:val="22"/>
        </w:rPr>
        <w:t xml:space="preserve"> → real if the cut is 85CL/50CL; fabricated for cuts awaiting backfill.</w:t>
      </w:r>
    </w:p>
    <w:p>
      <w:pPr>
        <w:pStyle w:val="ListParagraph"/>
        <w:numPr>
          <w:ilvl w:val="0"/>
          <w:numId w:val="2"/>
        </w:numPr>
        <w:spacing w:after="60"/>
      </w:pPr>
      <w:r>
        <w:rPr>
          <w:rFonts w:ascii="Arial" w:cs="Arial" w:eastAsia="Arial" w:hAnsi="Arial"/>
          <w:b/>
          <w:bCs/>
          <w:i w:val="false"/>
          <w:iCs w:val="false"/>
          <w:color w:val="1A1A1A"/>
          <w:sz w:val="22"/>
          <w:szCs w:val="22"/>
        </w:rPr>
        <w:t xml:space="preserve">Best/Base/Worst tiles</w:t>
      </w:r>
      <w:r>
        <w:rPr>
          <w:rFonts w:ascii="Arial" w:cs="Arial" w:eastAsia="Arial" w:hAnsi="Arial"/>
          <w:b w:val="false"/>
          <w:bCs w:val="false"/>
          <w:i w:val="false"/>
          <w:iCs w:val="false"/>
          <w:color w:val="1A1A1A"/>
          <w:sz w:val="22"/>
          <w:szCs w:val="22"/>
        </w:rPr>
        <w:t xml:space="preserve"> → decision-grade if forecasts.json says model = "quantile_gbm_v1" for that cut; directional if "parametric_seasonal_drift_v1".</w:t>
      </w:r>
    </w:p>
    <w:p>
      <w:pPr>
        <w:pStyle w:val="ListParagraph"/>
        <w:numPr>
          <w:ilvl w:val="0"/>
          <w:numId w:val="2"/>
        </w:numPr>
        <w:spacing w:after="60"/>
      </w:pPr>
      <w:r>
        <w:rPr>
          <w:rFonts w:ascii="Arial" w:cs="Arial" w:eastAsia="Arial" w:hAnsi="Arial"/>
          <w:b/>
          <w:bCs/>
          <w:i w:val="false"/>
          <w:iCs w:val="false"/>
          <w:color w:val="1A1A1A"/>
          <w:sz w:val="22"/>
          <w:szCs w:val="22"/>
        </w:rPr>
        <w:t xml:space="preserve">52-week range on Market Close tile</w:t>
      </w:r>
      <w:r>
        <w:rPr>
          <w:rFonts w:ascii="Arial" w:cs="Arial" w:eastAsia="Arial" w:hAnsi="Arial"/>
          <w:b w:val="false"/>
          <w:bCs w:val="false"/>
          <w:i w:val="false"/>
          <w:iCs w:val="false"/>
          <w:color w:val="1A1A1A"/>
          <w:sz w:val="22"/>
          <w:szCs w:val="22"/>
        </w:rPr>
        <w:t xml:space="preserve"> → real if range_52w_points &gt;= 100 in forecasts.json; fabricated otherwise.</w:t>
      </w:r>
    </w:p>
    <w:p>
      <w:r>
        <w:br w:type="page"/>
      </w:r>
    </w:p>
    <w:p>
      <w:pPr>
        <w:pStyle w:val="Heading1"/>
        <w:pBdr>
          <w:bottom w:val="single" w:color="E31837" w:sz="18" w:space="4"/>
        </w:pBdr>
        <w:spacing w:after="180" w:before="360"/>
      </w:pPr>
      <w:r>
        <w:rPr>
          <w:rFonts w:ascii="Arial" w:cs="Arial" w:eastAsia="Arial" w:hAnsi="Arial"/>
          <w:b/>
          <w:bCs/>
          <w:color w:val="1A1A1A"/>
          <w:sz w:val="34"/>
          <w:szCs w:val="34"/>
        </w:rPr>
        <w:t xml:space="preserve">3. System Architecture</w:t>
      </w:r>
    </w:p>
    <w:p>
      <w:pPr>
        <w:spacing w:after="80" w:before="0"/>
        <w:jc w:val="left"/>
      </w:pPr>
      <w:r>
        <w:rPr>
          <w:rFonts w:ascii="Arial" w:cs="Arial" w:eastAsia="Arial" w:hAnsi="Arial"/>
          <w:b w:val="false"/>
          <w:bCs w:val="false"/>
          <w:i w:val="false"/>
          <w:iCs w:val="false"/>
          <w:color w:val="1A1A1A"/>
          <w:sz w:val="22"/>
          <w:szCs w:val="22"/>
        </w:rPr>
        <w:t xml:space="preserve">The pipeline is a one-directional data flow: USDA → ingestion → history + forecasts → static HTML dashboard. No database, no server, no user state. Everything reproducible from the four USDA reports and the code on disk.</w:t>
      </w:r>
    </w:p>
    <w:p>
      <w:pPr>
        <w:pStyle w:val="Heading2"/>
        <w:spacing w:after="120" w:before="280"/>
      </w:pPr>
      <w:r>
        <w:rPr>
          <w:rFonts w:ascii="Arial" w:cs="Arial" w:eastAsia="Arial" w:hAnsi="Arial"/>
          <w:b/>
          <w:bCs/>
          <w:color w:val="E31837"/>
          <w:sz w:val="26"/>
          <w:szCs w:val="26"/>
        </w:rPr>
        <w:t xml:space="preserve">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1A1A1A" w:sz="2"/>
              <w:left w:val="single" w:color="1A1A1A" w:sz="2"/>
              <w:bottom w:val="single" w:color="1A1A1A" w:sz="2"/>
              <w:right w:val="single" w:color="1A1A1A" w:sz="2"/>
            </w:tcBorders>
            <w:shd w:fill="1A1A1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Component</w:t>
            </w:r>
          </w:p>
        </w:tc>
        <w:tc>
          <w:tcPr>
            <w:tcW w:type="dxa" w:w="1400"/>
            <w:tcBorders>
              <w:top w:val="single" w:color="1A1A1A" w:sz="2"/>
              <w:left w:val="single" w:color="1A1A1A" w:sz="2"/>
              <w:bottom w:val="single" w:color="1A1A1A" w:sz="2"/>
              <w:right w:val="single" w:color="1A1A1A" w:sz="2"/>
            </w:tcBorders>
            <w:shd w:fill="1A1A1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Language</w:t>
            </w:r>
          </w:p>
        </w:tc>
        <w:tc>
          <w:tcPr>
            <w:tcW w:type="dxa" w:w="5360"/>
            <w:tcBorders>
              <w:top w:val="single" w:color="1A1A1A" w:sz="2"/>
              <w:left w:val="single" w:color="1A1A1A" w:sz="2"/>
              <w:bottom w:val="single" w:color="1A1A1A" w:sz="2"/>
              <w:right w:val="single" w:color="1A1A1A" w:sz="2"/>
            </w:tcBorders>
            <w:shd w:fill="1A1A1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Role</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update_usda_data.py</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Python</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Daily PDF download and parse → data/latest.json</w:t>
            </w:r>
          </w:p>
        </w:tc>
      </w:tr>
      <w:tr>
        <w:tc>
          <w:tcPr>
            <w:tcW w:type="dxa" w:w="26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1A1A1A"/>
                <w:sz w:val="20"/>
                <w:szCs w:val="20"/>
              </w:rPr>
              <w:t xml:space="preserve">forecast_cuts.py</w:t>
            </w:r>
          </w:p>
        </w:tc>
        <w:tc>
          <w:tcPr>
            <w:tcW w:type="dxa" w:w="14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1A1A1A"/>
                <w:sz w:val="20"/>
                <w:szCs w:val="20"/>
              </w:rPr>
              <w:t xml:space="preserve">Python</w:t>
            </w:r>
          </w:p>
        </w:tc>
        <w:tc>
          <w:tcPr>
            <w:tcW w:type="dxa" w:w="536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1A1A1A"/>
                <w:sz w:val="20"/>
                <w:szCs w:val="20"/>
              </w:rPr>
              <w:t xml:space="preserve">Append today to history, train GBMs, write forecasts.json</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backfill_history.py</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Python</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One-time 5-year USDA API backfill → data/history.json</w:t>
            </w:r>
          </w:p>
        </w:tc>
      </w:tr>
      <w:tr>
        <w:tc>
          <w:tcPr>
            <w:tcW w:type="dxa" w:w="26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1A1A1A"/>
                <w:sz w:val="20"/>
                <w:szCs w:val="20"/>
              </w:rPr>
              <w:t xml:space="preserve">env_loader.py</w:t>
            </w:r>
          </w:p>
        </w:tc>
        <w:tc>
          <w:tcPr>
            <w:tcW w:type="dxa" w:w="14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1A1A1A"/>
                <w:sz w:val="20"/>
                <w:szCs w:val="20"/>
              </w:rPr>
              <w:t xml:space="preserve">Python</w:t>
            </w:r>
          </w:p>
        </w:tc>
        <w:tc>
          <w:tcPr>
            <w:tcW w:type="dxa" w:w="536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1A1A1A"/>
                <w:sz w:val="20"/>
                <w:szCs w:val="20"/>
              </w:rPr>
              <w:t xml:space="preserve">Minimal .env file parser (no dependency)</w:t>
            </w:r>
          </w:p>
        </w:tc>
      </w:tr>
      <w:tr>
        <w:tc>
          <w:tcPr>
            <w:tcW w:type="dxa" w:w="2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run_usda_updater.bat</w:t>
            </w:r>
          </w:p>
        </w:tc>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Batch</w:t>
            </w:r>
          </w:p>
        </w:tc>
        <w:tc>
          <w:tcPr>
            <w:tcW w:type="dxa" w:w="53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Windows one-click wrapper, logs to update.log</w:t>
            </w:r>
          </w:p>
        </w:tc>
      </w:tr>
      <w:tr>
        <w:tc>
          <w:tcPr>
            <w:tcW w:type="dxa" w:w="26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1A1A1A"/>
                <w:sz w:val="20"/>
                <w:szCs w:val="20"/>
              </w:rPr>
              <w:t xml:space="preserve">remixed-8840b12b.html</w:t>
            </w:r>
          </w:p>
        </w:tc>
        <w:tc>
          <w:tcPr>
            <w:tcW w:type="dxa" w:w="14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1A1A1A"/>
                <w:sz w:val="20"/>
                <w:szCs w:val="20"/>
              </w:rPr>
              <w:t xml:space="preserve">HTML/JS</w:t>
            </w:r>
          </w:p>
        </w:tc>
        <w:tc>
          <w:tcPr>
            <w:tcW w:type="dxa" w:w="536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1A1A1A"/>
                <w:sz w:val="20"/>
                <w:szCs w:val="20"/>
              </w:rPr>
              <w:t xml:space="preserve">Static dashboard, reads latest.json and forecasts.json on load</w:t>
            </w:r>
          </w:p>
        </w:tc>
      </w:tr>
    </w:tbl>
    <w:p>
      <w:pPr>
        <w:spacing w:before="240"/>
      </w:pPr>
      <w:r>
        <w:t xml:space="preserve"> </w:t>
      </w:r>
    </w:p>
    <w:p>
      <w:pPr>
        <w:pStyle w:val="Heading2"/>
        <w:spacing w:after="120" w:before="280"/>
      </w:pPr>
      <w:r>
        <w:rPr>
          <w:rFonts w:ascii="Arial" w:cs="Arial" w:eastAsia="Arial" w:hAnsi="Arial"/>
          <w:b/>
          <w:bCs/>
          <w:color w:val="E31837"/>
          <w:sz w:val="26"/>
          <w:szCs w:val="26"/>
        </w:rPr>
        <w:t xml:space="preserve">Data flow diagram</w:t>
      </w:r>
    </w:p>
    <w:tbl>
      <w:tblPr>
        <w:tblW w:type="dxa" w:w="9360"/>
        <w:tblBorders>
          <w:top w:val="single" w:color="8B4513" w:sz="4"/>
          <w:left w:val="single" w:color="8B4513" w:sz="4"/>
          <w:bottom w:val="single" w:color="8B4513" w:sz="4"/>
          <w:right w:val="single" w:color="8B4513" w:sz="4"/>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60"/>
              <w:left w:type="dxa" w:w="200"/>
              <w:bottom w:type="dxa" w:w="60"/>
              <w:right w:type="dxa" w:w="200"/>
            </w:tcMar>
          </w:tcPr>
          <w:p>
            <w:r>
              <w:rPr>
                <w:rFonts w:ascii="Consolas" w:cs="Consolas" w:eastAsia="Consolas" w:hAnsi="Consolas"/>
                <w:b/>
                <w:bCs/>
                <w:color w:val="FFFFFF"/>
                <w:sz w:val="16"/>
                <w:szCs w:val="16"/>
              </w:rPr>
              <w:t xml:space="preserve">SYSTEM DATA FLOW</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USDA AMS (ams.usda.gov)                  USDA MPR DataMart API</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                                        │</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  PDF files, 2 PM ET daily              │  JSON, historical</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                                        ▼</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update_usda_data.py                      backfill_history.py</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                                        │</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  parse with pypdf + regex              │  year-chunked pulls</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                                        ▼</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data/latest.json                         data/history.json</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                                 │</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forecast_cuts.py</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  n &gt;= 180 obs  → quantile GBM</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  n &lt;  180 obs  → parametric fallback</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  always: prior_day, 52w range, chart_hist</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data/forecasts.json</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remixed-8840b12b.html  (browser)</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  2 async IIFE loaders at end of script</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Dashboard renders with real numbers</w:t>
            </w:r>
          </w:p>
        </w:tc>
      </w:tr>
    </w:tbl>
    <w:p>
      <w:r>
        <w:br w:type="page"/>
      </w:r>
    </w:p>
    <w:p>
      <w:pPr>
        <w:pStyle w:val="Heading1"/>
        <w:pBdr>
          <w:bottom w:val="single" w:color="E31837" w:sz="18" w:space="4"/>
        </w:pBdr>
        <w:spacing w:after="180" w:before="360"/>
      </w:pPr>
      <w:r>
        <w:rPr>
          <w:rFonts w:ascii="Arial" w:cs="Arial" w:eastAsia="Arial" w:hAnsi="Arial"/>
          <w:b/>
          <w:bCs/>
          <w:color w:val="1A1A1A"/>
          <w:sz w:val="34"/>
          <w:szCs w:val="34"/>
        </w:rPr>
        <w:t xml:space="preserve">4. Data Sources</w:t>
      </w:r>
    </w:p>
    <w:p>
      <w:pPr>
        <w:pStyle w:val="Heading2"/>
        <w:spacing w:after="120" w:before="280"/>
      </w:pPr>
      <w:r>
        <w:rPr>
          <w:rFonts w:ascii="Arial" w:cs="Arial" w:eastAsia="Arial" w:hAnsi="Arial"/>
          <w:b/>
          <w:bCs/>
          <w:color w:val="E31837"/>
          <w:sz w:val="26"/>
          <w:szCs w:val="26"/>
        </w:rPr>
        <w:t xml:space="preserve">USDA reports pulled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4900"/>
        <w:gridCol w:w="2160"/>
      </w:tblGrid>
      <w:tr>
        <w:trPr>
          <w:tblHeader/>
        </w:trPr>
        <w:tc>
          <w:tcPr>
            <w:tcW w:type="dxa" w:w="1400"/>
            <w:tcBorders>
              <w:top w:val="single" w:color="1A1A1A" w:sz="2"/>
              <w:left w:val="single" w:color="1A1A1A" w:sz="2"/>
              <w:bottom w:val="single" w:color="1A1A1A" w:sz="2"/>
              <w:right w:val="single" w:color="1A1A1A" w:sz="2"/>
            </w:tcBorders>
            <w:shd w:fill="1A1A1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Report</w:t>
            </w:r>
          </w:p>
        </w:tc>
        <w:tc>
          <w:tcPr>
            <w:tcW w:type="dxa" w:w="900"/>
            <w:tcBorders>
              <w:top w:val="single" w:color="1A1A1A" w:sz="2"/>
              <w:left w:val="single" w:color="1A1A1A" w:sz="2"/>
              <w:bottom w:val="single" w:color="1A1A1A" w:sz="2"/>
              <w:right w:val="single" w:color="1A1A1A" w:sz="2"/>
            </w:tcBorders>
            <w:shd w:fill="1A1A1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Slug</w:t>
            </w:r>
          </w:p>
        </w:tc>
        <w:tc>
          <w:tcPr>
            <w:tcW w:type="dxa" w:w="4900"/>
            <w:tcBorders>
              <w:top w:val="single" w:color="1A1A1A" w:sz="2"/>
              <w:left w:val="single" w:color="1A1A1A" w:sz="2"/>
              <w:bottom w:val="single" w:color="1A1A1A" w:sz="2"/>
              <w:right w:val="single" w:color="1A1A1A" w:sz="2"/>
            </w:tcBorders>
            <w:shd w:fill="1A1A1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What it covers</w:t>
            </w:r>
          </w:p>
        </w:tc>
        <w:tc>
          <w:tcPr>
            <w:tcW w:type="dxa" w:w="2160"/>
            <w:tcBorders>
              <w:top w:val="single" w:color="1A1A1A" w:sz="2"/>
              <w:left w:val="single" w:color="1A1A1A" w:sz="2"/>
              <w:bottom w:val="single" w:color="1A1A1A" w:sz="2"/>
              <w:right w:val="single" w:color="1A1A1A" w:sz="2"/>
            </w:tcBorders>
            <w:shd w:fill="1A1A1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Status</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LM_XB401</w:t>
            </w:r>
          </w:p>
        </w:tc>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2451</w:t>
            </w:r>
          </w:p>
        </w:tc>
        <w:tc>
          <w:tcPr>
            <w:tcW w:type="dxa" w:w="4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Beef trim: 85CL, 50CL, 65CL, 81CL, 92-94%, 90%, 75% grades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065F46"/>
                <w:sz w:val="20"/>
                <w:szCs w:val="20"/>
              </w:rPr>
              <w:t xml:space="preserve">BACKFILLED 5YR</w:t>
            </w:r>
          </w:p>
        </w:tc>
      </w:tr>
      <w:tr>
        <w:tc>
          <w:tcPr>
            <w:tcW w:type="dxa" w:w="14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1A1A1A"/>
                <w:sz w:val="20"/>
                <w:szCs w:val="20"/>
              </w:rPr>
              <w:t xml:space="preserve">LM_XB403</w:t>
            </w:r>
          </w:p>
        </w:tc>
        <w:tc>
          <w:tcPr>
            <w:tcW w:type="dxa" w:w="9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1A1A1A"/>
                <w:sz w:val="20"/>
                <w:szCs w:val="20"/>
              </w:rPr>
              <w:t xml:space="preserve">2453</w:t>
            </w:r>
          </w:p>
        </w:tc>
        <w:tc>
          <w:tcPr>
            <w:tcW w:type="dxa" w:w="49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1A1A1A"/>
                <w:sz w:val="20"/>
                <w:szCs w:val="20"/>
              </w:rPr>
              <w:t xml:space="preserve">Boxed beef: Choice/Select cutout, 7 primals, sub-primal trades</w:t>
            </w:r>
          </w:p>
        </w:tc>
        <w:tc>
          <w:tcPr>
            <w:tcW w:type="dxa" w:w="216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bCs/>
                <w:color w:val="991B1B"/>
                <w:sz w:val="20"/>
                <w:szCs w:val="20"/>
              </w:rPr>
              <w:t xml:space="preserve">BACKFILL BLOCKED</w:t>
            </w:r>
          </w:p>
        </w:tc>
      </w:tr>
      <w:tr>
        <w:tc>
          <w:tcPr>
            <w:tcW w:type="dxa" w:w="1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LM_XB405</w:t>
            </w:r>
          </w:p>
        </w:tc>
        <w:tc>
          <w:tcPr>
            <w:tcW w:type="dxa" w:w="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2455</w:t>
            </w:r>
          </w:p>
        </w:tc>
        <w:tc>
          <w:tcPr>
            <w:tcW w:type="dxa" w:w="49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Cow cutout, 5-day rolling 100VL (Insides, Flats, Eyes)</w:t>
            </w:r>
          </w:p>
        </w:tc>
        <w:tc>
          <w:tcPr>
            <w:tcW w:type="dxa" w:w="2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bCs/>
                <w:color w:val="991B1B"/>
                <w:sz w:val="20"/>
                <w:szCs w:val="20"/>
              </w:rPr>
              <w:t xml:space="preserve">BACKFILL BLOCKED</w:t>
            </w:r>
          </w:p>
        </w:tc>
      </w:tr>
      <w:tr>
        <w:tc>
          <w:tcPr>
            <w:tcW w:type="dxa" w:w="14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1A1A1A"/>
                <w:sz w:val="20"/>
                <w:szCs w:val="20"/>
              </w:rPr>
              <w:t xml:space="preserve">LM_PK602</w:t>
            </w:r>
          </w:p>
        </w:tc>
        <w:tc>
          <w:tcPr>
            <w:tcW w:type="dxa" w:w="9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1A1A1A"/>
                <w:sz w:val="20"/>
                <w:szCs w:val="20"/>
              </w:rPr>
              <w:t xml:space="preserve">2498</w:t>
            </w:r>
          </w:p>
        </w:tc>
        <w:tc>
          <w:tcPr>
            <w:tcW w:type="dxa" w:w="49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1A1A1A"/>
                <w:sz w:val="20"/>
                <w:szCs w:val="20"/>
              </w:rPr>
              <w:t xml:space="preserve">Pork primal cutout + trim grades + belly sizes + loin strap-on</w:t>
            </w:r>
          </w:p>
        </w:tc>
        <w:tc>
          <w:tcPr>
            <w:tcW w:type="dxa" w:w="216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bCs/>
                <w:color w:val="991B1B"/>
                <w:sz w:val="20"/>
                <w:szCs w:val="20"/>
              </w:rPr>
              <w:t xml:space="preserve">BACKFILL BLOCKED</w:t>
            </w:r>
          </w:p>
        </w:tc>
      </w:tr>
    </w:tbl>
    <w:p>
      <w:pPr>
        <w:spacing w:before="160"/>
      </w:pPr>
      <w:r>
        <w:rPr>
          <w:rFonts w:ascii="Arial" w:cs="Arial" w:eastAsia="Arial" w:hAnsi="Arial"/>
          <w:sz w:val="18"/>
          <w:szCs w:val="18"/>
        </w:rPr>
        <w:t xml:space="preserve"> </w:t>
      </w:r>
    </w:p>
    <w:p>
      <w:pPr>
        <w:spacing w:after="200" w:before="0"/>
        <w:jc w:val="left"/>
      </w:pPr>
      <w:r>
        <w:rPr>
          <w:rFonts w:ascii="Arial" w:cs="Arial" w:eastAsia="Arial" w:hAnsi="Arial"/>
          <w:b/>
          <w:bCs/>
          <w:i w:val="false"/>
          <w:iCs w:val="false"/>
          <w:color w:val="E31837"/>
          <w:sz w:val="22"/>
          <w:szCs w:val="22"/>
        </w:rPr>
        <w:t xml:space="preserve">Note:</w:t>
      </w:r>
      <w:r>
        <w:rPr>
          <w:rFonts w:ascii="Arial" w:cs="Arial" w:eastAsia="Arial" w:hAnsi="Arial"/>
          <w:b w:val="false"/>
          <w:bCs w:val="false"/>
          <w:i w:val="false"/>
          <w:iCs w:val="false"/>
          <w:color w:val="1A1A1A"/>
          <w:sz w:val="22"/>
          <w:szCs w:val="22"/>
        </w:rPr>
        <w:t xml:space="preserve"> The three "BACKFILL BLOCKED" reports are waiting on USDA MPR API availability. When probed on Saturday April 19, 2026, every endpoint returned HTTP 500. Daily PDF parsing still works for all four reports (so current-day values are live); only historical backfill is blocked.</w:t>
      </w:r>
    </w:p>
    <w:p>
      <w:pPr>
        <w:pStyle w:val="Heading2"/>
        <w:spacing w:after="120" w:before="280"/>
      </w:pPr>
      <w:r>
        <w:rPr>
          <w:rFonts w:ascii="Arial" w:cs="Arial" w:eastAsia="Arial" w:hAnsi="Arial"/>
          <w:b/>
          <w:bCs/>
          <w:color w:val="E31837"/>
          <w:sz w:val="26"/>
          <w:szCs w:val="26"/>
        </w:rPr>
        <w:t xml:space="preserve">Daily PDF ingestion</w:t>
      </w:r>
    </w:p>
    <w:p>
      <w:pPr>
        <w:spacing w:after="140" w:before="0"/>
        <w:jc w:val="left"/>
      </w:pPr>
      <w:r>
        <w:rPr>
          <w:rFonts w:ascii="Arial" w:cs="Arial" w:eastAsia="Arial" w:hAnsi="Arial"/>
          <w:b w:val="false"/>
          <w:bCs w:val="false"/>
          <w:i w:val="false"/>
          <w:iCs w:val="false"/>
          <w:color w:val="1A1A1A"/>
          <w:sz w:val="22"/>
          <w:szCs w:val="22"/>
        </w:rPr>
        <w:t xml:space="preserve">update_usda_data.py downloads each PDF with requests, extracts text with pypdf, and regex-parses into a structured JSON object. The parsers are line-based because pypdf extracts USDA tables as vertical columns (one cell per line).</w:t>
      </w:r>
    </w:p>
    <w:tbl>
      <w:tblPr>
        <w:tblW w:type="dxa" w:w="9360"/>
        <w:tblBorders>
          <w:top w:val="single" w:color="8B4513" w:sz="4"/>
          <w:left w:val="single" w:color="8B4513" w:sz="4"/>
          <w:bottom w:val="single" w:color="8B4513" w:sz="4"/>
          <w:right w:val="single" w:color="8B4513" w:sz="4"/>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60"/>
              <w:left w:type="dxa" w:w="200"/>
              <w:bottom w:type="dxa" w:w="60"/>
              <w:right w:type="dxa" w:w="200"/>
            </w:tcMar>
          </w:tcPr>
          <w:p>
            <w:r>
              <w:rPr>
                <w:rFonts w:ascii="Consolas" w:cs="Consolas" w:eastAsia="Consolas" w:hAnsi="Consolas"/>
                <w:b/>
                <w:bCs/>
                <w:color w:val="FFFFFF"/>
                <w:sz w:val="16"/>
                <w:szCs w:val="16"/>
              </w:rPr>
              <w:t xml:space="preserve">update_usda_data.py</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forecast_cuts.py — USDA API fetch with Basic Auth</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def _fetch(key, url, params, verbose=False, retries=3):</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for attempt in range(retries):</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r = requests.get(url, auth=(key, ''), params=params, timeout=300,</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headers={'Accept': 'application/json'})</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if r.status_code == 200:</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return r.json()</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if r.status_code &gt;= 500:</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time.sleep(2 ** attempt)   # exponential backoff</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continue</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return None   # 4xx: don’t retry</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return None</w:t>
            </w:r>
          </w:p>
        </w:tc>
      </w:tr>
    </w:tbl>
    <w:p>
      <w:pPr>
        <w:spacing w:before="240"/>
      </w:pPr>
      <w:r>
        <w:t xml:space="preserve"> </w:t>
      </w:r>
    </w:p>
    <w:p>
      <w:pPr>
        <w:pStyle w:val="Heading2"/>
        <w:spacing w:after="120" w:before="280"/>
      </w:pPr>
      <w:r>
        <w:rPr>
          <w:rFonts w:ascii="Arial" w:cs="Arial" w:eastAsia="Arial" w:hAnsi="Arial"/>
          <w:b/>
          <w:bCs/>
          <w:color w:val="E31837"/>
          <w:sz w:val="26"/>
          <w:szCs w:val="26"/>
        </w:rPr>
        <w:t xml:space="preserve">Historical backfill</w:t>
      </w:r>
    </w:p>
    <w:p>
      <w:pPr>
        <w:spacing w:after="140" w:before="0"/>
        <w:jc w:val="left"/>
      </w:pPr>
      <w:r>
        <w:rPr>
          <w:rFonts w:ascii="Arial" w:cs="Arial" w:eastAsia="Arial" w:hAnsi="Arial"/>
          <w:b w:val="false"/>
          <w:bCs w:val="false"/>
          <w:i w:val="false"/>
          <w:iCs w:val="false"/>
          <w:color w:val="1A1A1A"/>
          <w:sz w:val="22"/>
          <w:szCs w:val="22"/>
        </w:rPr>
        <w:t xml:space="preserve">backfill_history.py uses the USDA MPR DataMart API (/services/v1.1/reports/{slug}/{section}) with Basic Auth (API key as username, blank password). The endpoint returns JSON with a results array of row dicts. Each row has item_desc, report_date, price_range_avg, number_trades, total_pounds.</w:t>
      </w:r>
    </w:p>
    <w:tbl>
      <w:tblPr>
        <w:tblW w:type="dxa" w:w="9360"/>
        <w:tblBorders>
          <w:top w:val="single" w:color="8B4513" w:sz="4"/>
          <w:left w:val="single" w:color="8B4513" w:sz="4"/>
          <w:bottom w:val="single" w:color="8B4513" w:sz="4"/>
          <w:right w:val="single" w:color="8B4513" w:sz="4"/>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60"/>
              <w:left w:type="dxa" w:w="200"/>
              <w:bottom w:type="dxa" w:w="60"/>
              <w:right w:type="dxa" w:w="200"/>
            </w:tcMar>
          </w:tcPr>
          <w:p>
            <w:r>
              <w:rPr>
                <w:rFonts w:ascii="Consolas" w:cs="Consolas" w:eastAsia="Consolas" w:hAnsi="Consolas"/>
                <w:b/>
                <w:bCs/>
                <w:color w:val="FFFFFF"/>
                <w:sz w:val="16"/>
                <w:szCs w:val="16"/>
              </w:rPr>
              <w:t xml:space="preserve">backfill_history.py</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backfill_history.py — year-chunked pull</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while chunk_start &lt; today:</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chunk_end = chunk_start.replace(year=chunk_start.year + 1) - timedelta(days=1)</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rows = _fetch_section_year(key, slug, section, chunk_start, chunk_end)</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for row in rows:</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item_desc = row.get('item_desc', '').strip()</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cut = _match_cut(item_desc, XB401_CUT_MAP)</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if not cut: continue</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wa = _to_float(row.get('price_range_avg'))</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if wa is None or wa &lt;= 0: continue    # skip 'not established' rows</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collected[cut][iso_date] = {</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'date': iso_date, 'price_cwt': wa,</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'trades': int(row.get('number_trades', 0)),</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'pounds': int(row.get('total_pounds', 0)),</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chunk_start = chunk_end + timedelta(days=1)</w:t>
            </w:r>
          </w:p>
        </w:tc>
      </w:tr>
    </w:tbl>
    <w:p>
      <w:r>
        <w:br w:type="page"/>
      </w:r>
    </w:p>
    <w:p>
      <w:pPr>
        <w:pStyle w:val="Heading1"/>
        <w:pBdr>
          <w:bottom w:val="single" w:color="E31837" w:sz="18" w:space="4"/>
        </w:pBdr>
        <w:spacing w:after="180" w:before="360"/>
      </w:pPr>
      <w:r>
        <w:rPr>
          <w:rFonts w:ascii="Arial" w:cs="Arial" w:eastAsia="Arial" w:hAnsi="Arial"/>
          <w:b/>
          <w:bCs/>
          <w:color w:val="1A1A1A"/>
          <w:sz w:val="34"/>
          <w:szCs w:val="34"/>
        </w:rPr>
        <w:t xml:space="preserve">5. Forecasting Methodology</w:t>
      </w:r>
    </w:p>
    <w:p>
      <w:pPr>
        <w:pStyle w:val="Heading2"/>
        <w:spacing w:after="120" w:before="280"/>
      </w:pPr>
      <w:r>
        <w:rPr>
          <w:rFonts w:ascii="Arial" w:cs="Arial" w:eastAsia="Arial" w:hAnsi="Arial"/>
          <w:b/>
          <w:bCs/>
          <w:color w:val="E31837"/>
          <w:sz w:val="26"/>
          <w:szCs w:val="26"/>
        </w:rPr>
        <w:t xml:space="preserve">5.1  Why quantile gradient boosting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1A1A1A" w:sz="2"/>
              <w:left w:val="single" w:color="1A1A1A" w:sz="2"/>
              <w:bottom w:val="single" w:color="1A1A1A" w:sz="2"/>
              <w:right w:val="single" w:color="1A1A1A" w:sz="2"/>
            </w:tcBorders>
            <w:shd w:fill="1A1A1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Option</w:t>
            </w:r>
          </w:p>
        </w:tc>
        <w:tc>
          <w:tcPr>
            <w:tcW w:type="dxa" w:w="1600"/>
            <w:tcBorders>
              <w:top w:val="single" w:color="1A1A1A" w:sz="2"/>
              <w:left w:val="single" w:color="1A1A1A" w:sz="2"/>
              <w:bottom w:val="single" w:color="1A1A1A" w:sz="2"/>
              <w:right w:val="single" w:color="1A1A1A" w:sz="2"/>
            </w:tcBorders>
            <w:shd w:fill="1A1A1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Verdict</w:t>
            </w:r>
          </w:p>
        </w:tc>
        <w:tc>
          <w:tcPr>
            <w:tcW w:type="dxa" w:w="5560"/>
            <w:tcBorders>
              <w:top w:val="single" w:color="1A1A1A" w:sz="2"/>
              <w:left w:val="single" w:color="1A1A1A" w:sz="2"/>
              <w:bottom w:val="single" w:color="1A1A1A" w:sz="2"/>
              <w:right w:val="single" w:color="1A1A1A" w:sz="2"/>
            </w:tcBorders>
            <w:shd w:fill="1A1A1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Reason</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ARIMA / SARIMAX</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Rejected</w:t>
            </w:r>
          </w:p>
        </w:tc>
        <w:tc>
          <w:tcPr>
            <w:tcW w:type="dxa" w:w="5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Cannot capture non-linear regime shifts (drought × herd cycle)</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1A1A1A"/>
                <w:sz w:val="20"/>
                <w:szCs w:val="20"/>
              </w:rPr>
              <w:t xml:space="preserve">LSTM / TFT</w:t>
            </w:r>
          </w:p>
        </w:tc>
        <w:tc>
          <w:tcPr>
            <w:tcW w:type="dxa" w:w="16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1A1A1A"/>
                <w:sz w:val="20"/>
                <w:szCs w:val="20"/>
              </w:rPr>
              <w:t xml:space="preserve">Deferred</w:t>
            </w:r>
          </w:p>
        </w:tc>
        <w:tc>
          <w:tcPr>
            <w:tcW w:type="dxa" w:w="556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1A1A1A"/>
                <w:sz w:val="20"/>
                <w:szCs w:val="20"/>
              </w:rPr>
              <w:t xml:space="preserve">Data-hungry; 1,200 daily obs too few for deep models to beat simpler ones</w:t>
            </w:r>
          </w:p>
        </w:tc>
      </w:tr>
      <w:tr>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XGBoost</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Deferred</w:t>
            </w:r>
          </w:p>
        </w:tc>
        <w:tc>
          <w:tcPr>
            <w:tcW w:type="dxa" w:w="55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Marginally faster but adds a dependency; ARM64 wheel status variable</w:t>
            </w:r>
          </w:p>
        </w:tc>
      </w:tr>
      <w:tr>
        <w:tc>
          <w:tcPr>
            <w:tcW w:type="dxa" w:w="22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1A1A1A"/>
                <w:sz w:val="20"/>
                <w:szCs w:val="20"/>
              </w:rPr>
              <w:t xml:space="preserve">sklearn GBR (chosen)</w:t>
            </w:r>
          </w:p>
        </w:tc>
        <w:tc>
          <w:tcPr>
            <w:tcW w:type="dxa" w:w="16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1A1A1A"/>
                <w:sz w:val="20"/>
                <w:szCs w:val="20"/>
              </w:rPr>
              <w:t xml:space="preserve">Chosen</w:t>
            </w:r>
          </w:p>
        </w:tc>
        <w:tc>
          <w:tcPr>
            <w:tcW w:type="dxa" w:w="556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1A1A1A"/>
                <w:sz w:val="20"/>
                <w:szCs w:val="20"/>
              </w:rPr>
              <w:t xml:space="preserve">Native quantile loss, ARM64 wheels exist, ~0.5s fit per model</w:t>
            </w:r>
          </w:p>
        </w:tc>
      </w:tr>
    </w:tbl>
    <w:p>
      <w:pPr>
        <w:spacing w:before="240"/>
      </w:pPr>
      <w:r>
        <w:t xml:space="preserve"> </w:t>
      </w:r>
    </w:p>
    <w:p>
      <w:pPr>
        <w:pStyle w:val="Heading2"/>
        <w:spacing w:after="120" w:before="280"/>
      </w:pPr>
      <w:r>
        <w:rPr>
          <w:rFonts w:ascii="Arial" w:cs="Arial" w:eastAsia="Arial" w:hAnsi="Arial"/>
          <w:b/>
          <w:bCs/>
          <w:color w:val="E31837"/>
          <w:sz w:val="26"/>
          <w:szCs w:val="26"/>
        </w:rPr>
        <w:t xml:space="preserve">5.2  The 15 features</w:t>
      </w:r>
    </w:p>
    <w:p>
      <w:pPr>
        <w:spacing w:after="120" w:before="0"/>
        <w:jc w:val="left"/>
      </w:pPr>
      <w:r>
        <w:rPr>
          <w:rFonts w:ascii="Arial" w:cs="Arial" w:eastAsia="Arial" w:hAnsi="Arial"/>
          <w:b w:val="false"/>
          <w:bCs w:val="false"/>
          <w:i w:val="false"/>
          <w:iCs w:val="false"/>
          <w:color w:val="1A1A1A"/>
          <w:sz w:val="22"/>
          <w:szCs w:val="22"/>
        </w:rPr>
        <w:t xml:space="preserve">Every observation is encoded as a 15-dimensional vector. Only the price series and calendar are used. Exogenous signals (drought, futures, cattle-on-feed) are deliberately out of scope for v2 to keep the baseline honest and debuggable.</w:t>
      </w:r>
    </w:p>
    <w:tbl>
      <w:tblPr>
        <w:tblW w:type="dxa" w:w="9360"/>
        <w:tblBorders>
          <w:top w:val="single" w:color="8B4513" w:sz="4"/>
          <w:left w:val="single" w:color="8B4513" w:sz="4"/>
          <w:bottom w:val="single" w:color="8B4513" w:sz="4"/>
          <w:right w:val="single" w:color="8B4513" w:sz="4"/>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60"/>
              <w:left w:type="dxa" w:w="200"/>
              <w:bottom w:type="dxa" w:w="60"/>
              <w:right w:type="dxa" w:w="200"/>
            </w:tcMar>
          </w:tcPr>
          <w:p>
            <w:r>
              <w:rPr>
                <w:rFonts w:ascii="Consolas" w:cs="Consolas" w:eastAsia="Consolas" w:hAnsi="Consolas"/>
                <w:b/>
                <w:bCs/>
                <w:color w:val="FFFFFF"/>
                <w:sz w:val="16"/>
                <w:szCs w:val="16"/>
              </w:rPr>
              <w:t xml:space="preserve">forecast_cuts.py · features</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forecast_cuts.py — feature builder</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def _build_features_at(prices, dates, i):</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p = prices</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w5, w20, w60 = p[i-5:i], p[i-20:i], p[i-60:i]</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d = dates[i]</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doy = d.timetuple().tm_yday</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return [</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p[i-1], p[i-5], p[i-20], p[i-60],         # lags</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float(np.mean(w5)),  float(np.std(w5)),    # rolling 5d</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float(np.mean(w20)), float(np.std(w20)),   # rolling 20d</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float(np.mean(w60)),                        # rolling 60d</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(p[i-1] / p[i-5])  - 1.0,                   # weekly return</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(p[i-1] / p[i-20]) - 1.0,                   # monthly return</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math.sin(2 * math.pi * doy / 365.0),        # seasonality</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math.cos(2 * math.pi * doy / 365.0),</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d.weekday(),                                # dow</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d.month,                                    # month</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w:t>
            </w:r>
          </w:p>
        </w:tc>
      </w:tr>
    </w:tbl>
    <w:p>
      <w:pPr>
        <w:spacing w:before="240"/>
      </w:pPr>
      <w:r>
        <w:t xml:space="preserve"> </w:t>
      </w:r>
    </w:p>
    <w:p>
      <w:pPr>
        <w:pStyle w:val="Heading2"/>
        <w:spacing w:after="120" w:before="280"/>
      </w:pPr>
      <w:r>
        <w:rPr>
          <w:rFonts w:ascii="Arial" w:cs="Arial" w:eastAsia="Arial" w:hAnsi="Arial"/>
          <w:b/>
          <w:bCs/>
          <w:color w:val="E31837"/>
          <w:sz w:val="26"/>
          <w:szCs w:val="26"/>
        </w:rPr>
        <w:t xml:space="preserve">5.3  Direct multi-step training</w:t>
      </w:r>
    </w:p>
    <w:p>
      <w:pPr>
        <w:spacing w:after="140" w:before="0"/>
        <w:jc w:val="left"/>
      </w:pPr>
      <w:r>
        <w:rPr>
          <w:rFonts w:ascii="Arial" w:cs="Arial" w:eastAsia="Arial" w:hAnsi="Arial"/>
          <w:b w:val="false"/>
          <w:bCs w:val="false"/>
          <w:i w:val="false"/>
          <w:iCs w:val="false"/>
          <w:color w:val="1A1A1A"/>
          <w:sz w:val="22"/>
          <w:szCs w:val="22"/>
        </w:rPr>
        <w:t xml:space="preserve">For each horizon h ∈ {7, 28, 91, 182} days we train three separate quantile models with α ∈ {0.1, 0.5, 0.9}. At inference, today’s features go through each model directly — no recursive forecasting (which compounds errors).</w:t>
      </w:r>
    </w:p>
    <w:tbl>
      <w:tblPr>
        <w:tblW w:type="dxa" w:w="9360"/>
        <w:tblBorders>
          <w:top w:val="single" w:color="8B4513" w:sz="4"/>
          <w:left w:val="single" w:color="8B4513" w:sz="4"/>
          <w:bottom w:val="single" w:color="8B4513" w:sz="4"/>
          <w:right w:val="single" w:color="8B4513" w:sz="4"/>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60"/>
              <w:left w:type="dxa" w:w="200"/>
              <w:bottom w:type="dxa" w:w="60"/>
              <w:right w:type="dxa" w:w="200"/>
            </w:tcMar>
          </w:tcPr>
          <w:p>
            <w:r>
              <w:rPr>
                <w:rFonts w:ascii="Consolas" w:cs="Consolas" w:eastAsia="Consolas" w:hAnsi="Consolas"/>
                <w:b/>
                <w:bCs/>
                <w:color w:val="FFFFFF"/>
                <w:sz w:val="16"/>
                <w:szCs w:val="16"/>
              </w:rPr>
              <w:t xml:space="preserve">forecast_cuts.py · training</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def _fit_quantile(X, y, alpha):</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return GradientBoostingRegressor(</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loss='quantile', alpha=alpha,</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n_estimators=200, max_depth=4, learning_rate=0.05,</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min_samples_leaf=15, subsample=0.8, random_state=42,</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).fit(X, y)</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Build direct-multistep pairs: X[i] = features(i), y[i] = price[i + h]</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X, y = [], []</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for i in range(MIN_LAG, n - h):</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X.append(_build_features_at(prices, dates, i))</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y.append(prices[i + h])</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m50 = _fit_quantile(X_train, y_train, 0.5)   # median</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m10 = _fit_quantile(X_train, y_train, 0.1)   # lower 80% band</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m90 = _fit_quantile(X_train, y_train, 0.9)   # upper 80% band</w:t>
            </w:r>
          </w:p>
        </w:tc>
      </w:tr>
    </w:tbl>
    <w:p>
      <w:pPr>
        <w:spacing w:before="240"/>
      </w:pPr>
      <w:r>
        <w:t xml:space="preserve"> </w:t>
      </w:r>
    </w:p>
    <w:p>
      <w:pPr>
        <w:pStyle w:val="Heading2"/>
        <w:spacing w:after="120" w:before="280"/>
      </w:pPr>
      <w:r>
        <w:rPr>
          <w:rFonts w:ascii="Arial" w:cs="Arial" w:eastAsia="Arial" w:hAnsi="Arial"/>
          <w:b/>
          <w:bCs/>
          <w:color w:val="E31837"/>
          <w:sz w:val="26"/>
          <w:szCs w:val="26"/>
        </w:rPr>
        <w:t xml:space="preserve">5.4  The backtest gate</w:t>
      </w:r>
    </w:p>
    <w:p>
      <w:pPr>
        <w:spacing w:after="140" w:before="0"/>
        <w:jc w:val="left"/>
      </w:pPr>
      <w:r>
        <w:rPr>
          <w:rFonts w:ascii="Arial" w:cs="Arial" w:eastAsia="Arial" w:hAnsi="Arial"/>
          <w:b w:val="false"/>
          <w:bCs w:val="false"/>
          <w:i w:val="false"/>
          <w:iCs w:val="false"/>
          <w:color w:val="1A1A1A"/>
          <w:sz w:val="22"/>
          <w:szCs w:val="22"/>
        </w:rPr>
        <w:t xml:space="preserve">No GBM forecast reaches the dashboard unless it first beats the seasonal-naive baseline on held-out 2024-2026 data. If the model loses to 'same price last year', we fall back to the parametric model and log it — transparently.</w:t>
      </w:r>
    </w:p>
    <w:tbl>
      <w:tblPr>
        <w:tblW w:type="dxa" w:w="9360"/>
        <w:tblBorders>
          <w:top w:val="single" w:color="8B4513" w:sz="4"/>
          <w:left w:val="single" w:color="8B4513" w:sz="4"/>
          <w:bottom w:val="single" w:color="8B4513" w:sz="4"/>
          <w:right w:val="single" w:color="8B4513" w:sz="4"/>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60"/>
              <w:left w:type="dxa" w:w="200"/>
              <w:bottom w:type="dxa" w:w="60"/>
              <w:right w:type="dxa" w:w="200"/>
            </w:tcMar>
          </w:tcPr>
          <w:p>
            <w:r>
              <w:rPr>
                <w:rFonts w:ascii="Consolas" w:cs="Consolas" w:eastAsia="Consolas" w:hAnsi="Consolas"/>
                <w:b/>
                <w:bCs/>
                <w:color w:val="FFFFFF"/>
                <w:sz w:val="16"/>
                <w:szCs w:val="16"/>
              </w:rPr>
              <w:t xml:space="preserve">forecast_cuts.py · backtest</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forecast_cuts.py — walk-forward backtest</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split = int(len(X) * 0.80)          # last 20% reserved for test</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X_tr, X_te = X[:split], X[split:]</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y_tr, y_te = y[:split], y[split:]</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m50.fit(X_tr, y_tr)</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gbm_preds = m50.predict(X_te)</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gbm_rmse  = np.sqrt(np.mean((gbm_preds - y_te) ** 2))</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Baseline: predict y[i+h] ≈ price at same day 1 year earlier</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baseline_preds = [prices[i + h - 365] for i in test_indices]</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naive_rmse = np.sqrt(np.mean((baseline_preds - y_te) ** 2))</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if gbm_rmse &lt; naive_rmse:</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passed_any = True</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 refit on full data, publish P10/P50/P90</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else:</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pass  # fall through to parametric</w:t>
            </w:r>
          </w:p>
        </w:tc>
      </w:tr>
    </w:tbl>
    <w:p>
      <w:pPr>
        <w:spacing w:before="240"/>
      </w:pPr>
      <w:r>
        <w:t xml:space="preserve"> </w:t>
      </w:r>
    </w:p>
    <w:p>
      <w:pPr>
        <w:pStyle w:val="Heading2"/>
        <w:spacing w:after="120" w:before="280"/>
      </w:pPr>
      <w:r>
        <w:rPr>
          <w:rFonts w:ascii="Arial" w:cs="Arial" w:eastAsia="Arial" w:hAnsi="Arial"/>
          <w:b/>
          <w:bCs/>
          <w:color w:val="E31837"/>
          <w:sz w:val="26"/>
          <w:szCs w:val="26"/>
        </w:rPr>
        <w:t xml:space="preserve">5.5  Parametric fallback</w:t>
      </w:r>
    </w:p>
    <w:p>
      <w:pPr>
        <w:spacing w:after="140" w:before="0"/>
        <w:jc w:val="left"/>
      </w:pPr>
      <w:r>
        <w:rPr>
          <w:rFonts w:ascii="Arial" w:cs="Arial" w:eastAsia="Arial" w:hAnsi="Arial"/>
          <w:b w:val="false"/>
          <w:bCs w:val="false"/>
          <w:i w:val="false"/>
          <w:iCs w:val="false"/>
          <w:color w:val="1A1A1A"/>
          <w:sz w:val="22"/>
          <w:szCs w:val="22"/>
        </w:rPr>
        <w:t xml:space="preserve">For cuts with fewer than 180 observations, we use a closed-form seasonal-drift model with business-interpretable priors. Every parameter can be challenged in review.</w:t>
      </w:r>
    </w:p>
    <w:tbl>
      <w:tblPr>
        <w:tblW w:type="dxa" w:w="9360"/>
        <w:tblBorders>
          <w:top w:val="single" w:color="8B4513" w:sz="4"/>
          <w:left w:val="single" w:color="8B4513" w:sz="4"/>
          <w:bottom w:val="single" w:color="8B4513" w:sz="4"/>
          <w:right w:val="single" w:color="8B4513" w:sz="4"/>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60"/>
              <w:left w:type="dxa" w:w="200"/>
              <w:bottom w:type="dxa" w:w="60"/>
              <w:right w:type="dxa" w:w="200"/>
            </w:tcMar>
          </w:tcPr>
          <w:p>
            <w:r>
              <w:rPr>
                <w:rFonts w:ascii="Consolas" w:cs="Consolas" w:eastAsia="Consolas" w:hAnsi="Consolas"/>
                <w:b/>
                <w:bCs/>
                <w:color w:val="FFFFFF"/>
                <w:sz w:val="16"/>
                <w:szCs w:val="16"/>
              </w:rPr>
              <w:t xml:space="preserve">forecast_cuts.py · parametric</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def parametric_forecast(anchor, cfg, today, horizon_days):</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years = horizon_days / 365.25</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today_doy  = today.timetuple().tm_yday</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target_doy = (today_doy + horizon_days) % 365</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 Strip current seasonality, apply drift, re-apply target seasonality</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base = anchor / _seasonality(cfg, today_doy)</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p50  = base * (1 + cfg['drift_annual'])**years * _seasonality(cfg, target_doy)</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 Widen band with sqrt(time), capped at 25%</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sigma = min(cfg['vol_monthly'] * math.sqrt(horizon_days/30), 0.25)</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p10 = p50 * (1 - 1.2816 * sigma)    # z-score for 80% central band</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p90 = p50 * (1 + 1.2816 * sigma)</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return {'p10_cwt': p10, 'p50_cwt': p50, 'p90_cwt': p90}</w:t>
            </w:r>
          </w:p>
        </w:tc>
      </w:tr>
    </w:tbl>
    <w:p>
      <w:r>
        <w:br w:type="page"/>
      </w:r>
    </w:p>
    <w:p>
      <w:pPr>
        <w:pStyle w:val="Heading1"/>
        <w:pBdr>
          <w:bottom w:val="single" w:color="E31837" w:sz="18" w:space="4"/>
        </w:pBdr>
        <w:spacing w:after="180" w:before="360"/>
      </w:pPr>
      <w:r>
        <w:rPr>
          <w:rFonts w:ascii="Arial" w:cs="Arial" w:eastAsia="Arial" w:hAnsi="Arial"/>
          <w:b/>
          <w:bCs/>
          <w:color w:val="1A1A1A"/>
          <w:sz w:val="34"/>
          <w:szCs w:val="34"/>
        </w:rPr>
        <w:t xml:space="preserve">6. Backtest Results</w:t>
      </w:r>
    </w:p>
    <w:p>
      <w:pPr>
        <w:spacing w:after="200" w:before="0"/>
        <w:jc w:val="left"/>
      </w:pPr>
      <w:r>
        <w:rPr>
          <w:rFonts w:ascii="Arial" w:cs="Arial" w:eastAsia="Arial" w:hAnsi="Arial"/>
          <w:b w:val="false"/>
          <w:bCs w:val="false"/>
          <w:i w:val="false"/>
          <w:iCs w:val="false"/>
          <w:color w:val="1A1A1A"/>
          <w:sz w:val="22"/>
          <w:szCs w:val="22"/>
        </w:rPr>
        <w:t xml:space="preserve">These are the actual RMSE values from training on 2021-2024 data and testing on 2024-2026. Every value is held-out — the model never saw the test period during training.</w:t>
      </w:r>
    </w:p>
    <w:p>
      <w:pPr>
        <w:pStyle w:val="Heading2"/>
        <w:spacing w:after="120" w:before="280"/>
      </w:pPr>
      <w:r>
        <w:rPr>
          <w:rFonts w:ascii="Arial" w:cs="Arial" w:eastAsia="Arial" w:hAnsi="Arial"/>
          <w:b/>
          <w:bCs/>
          <w:color w:val="E31837"/>
          <w:sz w:val="26"/>
          <w:szCs w:val="26"/>
        </w:rPr>
        <w:t xml:space="preserve">6.1  RMSE table (lower is better)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2760"/>
        <w:gridCol w:w="1600"/>
      </w:tblGrid>
      <w:tr>
        <w:trPr>
          <w:tblHeader/>
        </w:trPr>
        <w:tc>
          <w:tcPr>
            <w:tcW w:type="dxa" w:w="1200"/>
            <w:tcBorders>
              <w:top w:val="single" w:color="1A1A1A" w:sz="2"/>
              <w:left w:val="single" w:color="1A1A1A" w:sz="2"/>
              <w:bottom w:val="single" w:color="1A1A1A" w:sz="2"/>
              <w:right w:val="single" w:color="1A1A1A" w:sz="2"/>
            </w:tcBorders>
            <w:shd w:fill="1A1A1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Cut</w:t>
            </w:r>
          </w:p>
        </w:tc>
        <w:tc>
          <w:tcPr>
            <w:tcW w:type="dxa" w:w="1600"/>
            <w:tcBorders>
              <w:top w:val="single" w:color="1A1A1A" w:sz="2"/>
              <w:left w:val="single" w:color="1A1A1A" w:sz="2"/>
              <w:bottom w:val="single" w:color="1A1A1A" w:sz="2"/>
              <w:right w:val="single" w:color="1A1A1A" w:sz="2"/>
            </w:tcBorders>
            <w:shd w:fill="1A1A1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Horizon</w:t>
            </w:r>
          </w:p>
        </w:tc>
        <w:tc>
          <w:tcPr>
            <w:tcW w:type="dxa" w:w="2200"/>
            <w:tcBorders>
              <w:top w:val="single" w:color="1A1A1A" w:sz="2"/>
              <w:left w:val="single" w:color="1A1A1A" w:sz="2"/>
              <w:bottom w:val="single" w:color="1A1A1A" w:sz="2"/>
              <w:right w:val="single" w:color="1A1A1A" w:sz="2"/>
            </w:tcBorders>
            <w:shd w:fill="1A1A1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GBM RMSE ($/cwt)</w:t>
            </w:r>
          </w:p>
        </w:tc>
        <w:tc>
          <w:tcPr>
            <w:tcW w:type="dxa" w:w="2760"/>
            <w:tcBorders>
              <w:top w:val="single" w:color="1A1A1A" w:sz="2"/>
              <w:left w:val="single" w:color="1A1A1A" w:sz="2"/>
              <w:bottom w:val="single" w:color="1A1A1A" w:sz="2"/>
              <w:right w:val="single" w:color="1A1A1A" w:sz="2"/>
            </w:tcBorders>
            <w:shd w:fill="1A1A1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Seasonal-Naive RMSE ($/cwt)</w:t>
            </w:r>
          </w:p>
        </w:tc>
        <w:tc>
          <w:tcPr>
            <w:tcW w:type="dxa" w:w="1600"/>
            <w:tcBorders>
              <w:top w:val="single" w:color="1A1A1A" w:sz="2"/>
              <w:left w:val="single" w:color="1A1A1A" w:sz="2"/>
              <w:bottom w:val="single" w:color="1A1A1A" w:sz="2"/>
              <w:right w:val="single" w:color="1A1A1A" w:sz="2"/>
            </w:tcBorders>
            <w:shd w:fill="1A1A1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GBM Lift</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85CL</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1 week</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$48.64</w:t>
            </w:r>
          </w:p>
        </w:tc>
        <w:tc>
          <w:tcPr>
            <w:tcW w:type="dxa" w:w="2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$86.04</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+44%</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1A1A1A"/>
                <w:sz w:val="20"/>
                <w:szCs w:val="20"/>
              </w:rPr>
              <w:t xml:space="preserve">85CL</w:t>
            </w:r>
          </w:p>
        </w:tc>
        <w:tc>
          <w:tcPr>
            <w:tcW w:type="dxa" w:w="16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1A1A1A"/>
                <w:sz w:val="20"/>
                <w:szCs w:val="20"/>
              </w:rPr>
              <w:t xml:space="preserve">4 weeks</w:t>
            </w:r>
          </w:p>
        </w:tc>
        <w:tc>
          <w:tcPr>
            <w:tcW w:type="dxa" w:w="22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1A1A1A"/>
                <w:sz w:val="20"/>
                <w:szCs w:val="20"/>
              </w:rPr>
              <w:t xml:space="preserve">$49.79</w:t>
            </w:r>
          </w:p>
        </w:tc>
        <w:tc>
          <w:tcPr>
            <w:tcW w:type="dxa" w:w="276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1A1A1A"/>
                <w:sz w:val="20"/>
                <w:szCs w:val="20"/>
              </w:rPr>
              <w:t xml:space="preserve">$86.53</w:t>
            </w:r>
          </w:p>
        </w:tc>
        <w:tc>
          <w:tcPr>
            <w:tcW w:type="dxa" w:w="16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1A1A1A"/>
                <w:sz w:val="20"/>
                <w:szCs w:val="20"/>
              </w:rPr>
              <w:t xml:space="preserve">+42%</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85CL</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13 weeks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$67.75</w:t>
            </w:r>
          </w:p>
        </w:tc>
        <w:tc>
          <w:tcPr>
            <w:tcW w:type="dxa" w:w="2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$87.77</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+23%</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1A1A1A"/>
                <w:sz w:val="20"/>
                <w:szCs w:val="20"/>
              </w:rPr>
              <w:t xml:space="preserve">85CL</w:t>
            </w:r>
          </w:p>
        </w:tc>
        <w:tc>
          <w:tcPr>
            <w:tcW w:type="dxa" w:w="16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1A1A1A"/>
                <w:sz w:val="20"/>
                <w:szCs w:val="20"/>
              </w:rPr>
              <w:t xml:space="preserve">26 weeks</w:t>
            </w:r>
          </w:p>
        </w:tc>
        <w:tc>
          <w:tcPr>
            <w:tcW w:type="dxa" w:w="22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1A1A1A"/>
                <w:sz w:val="20"/>
                <w:szCs w:val="20"/>
              </w:rPr>
              <w:t xml:space="preserve">$45.51</w:t>
            </w:r>
          </w:p>
        </w:tc>
        <w:tc>
          <w:tcPr>
            <w:tcW w:type="dxa" w:w="276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1A1A1A"/>
                <w:sz w:val="20"/>
                <w:szCs w:val="20"/>
              </w:rPr>
              <w:t xml:space="preserve">$84.34</w:t>
            </w:r>
          </w:p>
        </w:tc>
        <w:tc>
          <w:tcPr>
            <w:tcW w:type="dxa" w:w="16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1A1A1A"/>
                <w:sz w:val="20"/>
                <w:szCs w:val="20"/>
              </w:rPr>
              <w:t xml:space="preserve">+46%</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50CL</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1 week</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$27.32</w:t>
            </w:r>
          </w:p>
        </w:tc>
        <w:tc>
          <w:tcPr>
            <w:tcW w:type="dxa" w:w="2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$86.59</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+68%</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1A1A1A"/>
                <w:sz w:val="20"/>
                <w:szCs w:val="20"/>
              </w:rPr>
              <w:t xml:space="preserve">50CL</w:t>
            </w:r>
          </w:p>
        </w:tc>
        <w:tc>
          <w:tcPr>
            <w:tcW w:type="dxa" w:w="16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1A1A1A"/>
                <w:sz w:val="20"/>
                <w:szCs w:val="20"/>
              </w:rPr>
              <w:t xml:space="preserve">4 weeks</w:t>
            </w:r>
          </w:p>
        </w:tc>
        <w:tc>
          <w:tcPr>
            <w:tcW w:type="dxa" w:w="22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1A1A1A"/>
                <w:sz w:val="20"/>
                <w:szCs w:val="20"/>
              </w:rPr>
              <w:t xml:space="preserve">$51.84</w:t>
            </w:r>
          </w:p>
        </w:tc>
        <w:tc>
          <w:tcPr>
            <w:tcW w:type="dxa" w:w="276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1A1A1A"/>
                <w:sz w:val="20"/>
                <w:szCs w:val="20"/>
              </w:rPr>
              <w:t xml:space="preserve">$87.45</w:t>
            </w:r>
          </w:p>
        </w:tc>
        <w:tc>
          <w:tcPr>
            <w:tcW w:type="dxa" w:w="16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1A1A1A"/>
                <w:sz w:val="20"/>
                <w:szCs w:val="20"/>
              </w:rPr>
              <w:t xml:space="preserve">+41%</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50CL</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13 weeks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$72.25</w:t>
            </w:r>
          </w:p>
        </w:tc>
        <w:tc>
          <w:tcPr>
            <w:tcW w:type="dxa" w:w="2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$89.19</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+19%</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1A1A1A"/>
                <w:sz w:val="20"/>
                <w:szCs w:val="20"/>
              </w:rPr>
              <w:t xml:space="preserve">50CL</w:t>
            </w:r>
          </w:p>
        </w:tc>
        <w:tc>
          <w:tcPr>
            <w:tcW w:type="dxa" w:w="16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1A1A1A"/>
                <w:sz w:val="20"/>
                <w:szCs w:val="20"/>
              </w:rPr>
              <w:t xml:space="preserve">26 weeks</w:t>
            </w:r>
          </w:p>
        </w:tc>
        <w:tc>
          <w:tcPr>
            <w:tcW w:type="dxa" w:w="22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1A1A1A"/>
                <w:sz w:val="20"/>
                <w:szCs w:val="20"/>
              </w:rPr>
              <w:t xml:space="preserve">$65.54</w:t>
            </w:r>
          </w:p>
        </w:tc>
        <w:tc>
          <w:tcPr>
            <w:tcW w:type="dxa" w:w="276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1A1A1A"/>
                <w:sz w:val="20"/>
                <w:szCs w:val="20"/>
              </w:rPr>
              <w:t xml:space="preserve">$83.05</w:t>
            </w:r>
          </w:p>
        </w:tc>
        <w:tc>
          <w:tcPr>
            <w:tcW w:type="dxa" w:w="16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1A1A1A"/>
                <w:sz w:val="20"/>
                <w:szCs w:val="20"/>
              </w:rPr>
              <w:t xml:space="preserve">+21%</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65CL</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1 week</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$18.50</w:t>
            </w:r>
          </w:p>
        </w:tc>
        <w:tc>
          <w:tcPr>
            <w:tcW w:type="dxa" w:w="2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$70.43</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+74%</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1A1A1A"/>
                <w:sz w:val="20"/>
                <w:szCs w:val="20"/>
              </w:rPr>
              <w:t xml:space="preserve">65CL</w:t>
            </w:r>
          </w:p>
        </w:tc>
        <w:tc>
          <w:tcPr>
            <w:tcW w:type="dxa" w:w="16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1A1A1A"/>
                <w:sz w:val="20"/>
                <w:szCs w:val="20"/>
              </w:rPr>
              <w:t xml:space="preserve">4 weeks</w:t>
            </w:r>
          </w:p>
        </w:tc>
        <w:tc>
          <w:tcPr>
            <w:tcW w:type="dxa" w:w="22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1A1A1A"/>
                <w:sz w:val="20"/>
                <w:szCs w:val="20"/>
              </w:rPr>
              <w:t xml:space="preserve">$41.47</w:t>
            </w:r>
          </w:p>
        </w:tc>
        <w:tc>
          <w:tcPr>
            <w:tcW w:type="dxa" w:w="276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1A1A1A"/>
                <w:sz w:val="20"/>
                <w:szCs w:val="20"/>
              </w:rPr>
              <w:t xml:space="preserve">$70.17</w:t>
            </w:r>
          </w:p>
        </w:tc>
        <w:tc>
          <w:tcPr>
            <w:tcW w:type="dxa" w:w="16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1A1A1A"/>
                <w:sz w:val="20"/>
                <w:szCs w:val="20"/>
              </w:rPr>
              <w:t xml:space="preserve">+41%</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65CL</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13 weeks</w:t>
            </w:r>
          </w:p>
        </w:tc>
        <w:tc>
          <w:tcPr>
            <w:tcW w:type="dxa" w:w="2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$61.46</w:t>
            </w:r>
          </w:p>
        </w:tc>
        <w:tc>
          <w:tcPr>
            <w:tcW w:type="dxa" w:w="2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$68.52</w:t>
            </w:r>
          </w:p>
        </w:tc>
        <w:tc>
          <w:tcPr>
            <w:tcW w:type="dxa" w:w="16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+10%</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1A1A1A"/>
                <w:sz w:val="20"/>
                <w:szCs w:val="20"/>
              </w:rPr>
              <w:t xml:space="preserve">65CL</w:t>
            </w:r>
          </w:p>
        </w:tc>
        <w:tc>
          <w:tcPr>
            <w:tcW w:type="dxa" w:w="16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1A1A1A"/>
                <w:sz w:val="20"/>
                <w:szCs w:val="20"/>
              </w:rPr>
              <w:t xml:space="preserve">26 weeks</w:t>
            </w:r>
          </w:p>
        </w:tc>
        <w:tc>
          <w:tcPr>
            <w:tcW w:type="dxa" w:w="22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1A1A1A"/>
                <w:sz w:val="20"/>
                <w:szCs w:val="20"/>
              </w:rPr>
              <w:t xml:space="preserve">$47.87</w:t>
            </w:r>
          </w:p>
        </w:tc>
        <w:tc>
          <w:tcPr>
            <w:tcW w:type="dxa" w:w="276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1A1A1A"/>
                <w:sz w:val="20"/>
                <w:szCs w:val="20"/>
              </w:rPr>
              <w:t xml:space="preserve">$68.58</w:t>
            </w:r>
          </w:p>
        </w:tc>
        <w:tc>
          <w:tcPr>
            <w:tcW w:type="dxa" w:w="16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1A1A1A"/>
                <w:sz w:val="20"/>
                <w:szCs w:val="20"/>
              </w:rPr>
              <w:t xml:space="preserve">+30%</w:t>
            </w:r>
          </w:p>
        </w:tc>
      </w:tr>
    </w:tbl>
    <w:p>
      <w:pPr>
        <w:spacing w:before="240"/>
      </w:pPr>
      <w:r>
        <w:t xml:space="preserve"> </w:t>
      </w:r>
    </w:p>
    <w:p>
      <w:pPr>
        <w:pStyle w:val="Heading2"/>
        <w:spacing w:after="120" w:before="280"/>
      </w:pPr>
      <w:r>
        <w:rPr>
          <w:rFonts w:ascii="Arial" w:cs="Arial" w:eastAsia="Arial" w:hAnsi="Arial"/>
          <w:b/>
          <w:bCs/>
          <w:color w:val="E31837"/>
          <w:sz w:val="26"/>
          <w:szCs w:val="26"/>
        </w:rPr>
        <w:t xml:space="preserve">6.2  What the numbers mean</w:t>
      </w:r>
    </w:p>
    <w:p>
      <w:pPr>
        <w:spacing w:after="80" w:before="0"/>
        <w:jc w:val="left"/>
      </w:pPr>
      <w:r>
        <w:rPr>
          <w:rFonts w:ascii="Arial" w:cs="Arial" w:eastAsia="Arial" w:hAnsi="Arial"/>
          <w:b/>
          <w:bCs/>
          <w:i w:val="false"/>
          <w:iCs w:val="false"/>
          <w:color w:val="1A1A1A"/>
          <w:sz w:val="22"/>
          <w:szCs w:val="22"/>
        </w:rPr>
        <w:t xml:space="preserve">The GBM beats seasonal-naive on every (cut × horizon) combination.</w:t>
      </w:r>
      <w:r>
        <w:rPr>
          <w:rFonts w:ascii="Arial" w:cs="Arial" w:eastAsia="Arial" w:hAnsi="Arial"/>
          <w:b w:val="false"/>
          <w:bCs w:val="false"/>
          <w:i w:val="false"/>
          <w:iCs w:val="false"/>
          <w:color w:val="1A1A1A"/>
          <w:sz w:val="22"/>
          <w:szCs w:val="22"/>
        </w:rPr>
        <w:t xml:space="preserve"> 1-week forecasts show the largest improvement (+44% to +74%) because short-horizon features (yesterday’s price, 5-day rolling stats) carry the most signal. Long-horizon forecasts still beat baseline but with smaller margins (+10% to +46%).</w:t>
      </w:r>
    </w:p>
    <w:p>
      <w:pPr>
        <w:pStyle w:val="Heading2"/>
        <w:spacing w:after="120" w:before="280"/>
      </w:pPr>
      <w:r>
        <w:rPr>
          <w:rFonts w:ascii="Arial" w:cs="Arial" w:eastAsia="Arial" w:hAnsi="Arial"/>
          <w:b/>
          <w:bCs/>
          <w:color w:val="E31837"/>
          <w:sz w:val="26"/>
          <w:szCs w:val="26"/>
        </w:rPr>
        <w:t xml:space="preserve">6.3  v2.2 training policy — recency-weighted + 2023-onward filter</w:t>
      </w:r>
    </w:p>
    <w:p>
      <w:pPr>
        <w:spacing w:after="120" w:before="0"/>
        <w:jc w:val="left"/>
      </w:pPr>
      <w:r>
        <w:rPr>
          <w:rFonts w:ascii="Arial" w:cs="Arial" w:eastAsia="Arial" w:hAnsi="Arial"/>
          <w:b w:val="false"/>
          <w:bCs w:val="false"/>
          <w:i w:val="false"/>
          <w:iCs w:val="false"/>
          <w:color w:val="1A1A1A"/>
          <w:sz w:val="22"/>
          <w:szCs w:val="22"/>
        </w:rPr>
        <w:t xml:space="preserve">Training is restricted to observations from January 1, 2023 onward. Older rows are kept in history.json for audit but excluded from model fitting because they reflect a different supply regime (different herd inventory, different slaughter capacity).</w:t>
      </w:r>
    </w:p>
    <w:p>
      <w:pPr>
        <w:spacing w:after="120" w:before="0"/>
        <w:jc w:val="left"/>
      </w:pPr>
      <w:r>
        <w:rPr>
          <w:rFonts w:ascii="Arial" w:cs="Arial" w:eastAsia="Arial" w:hAnsi="Arial"/>
          <w:b w:val="false"/>
          <w:bCs w:val="false"/>
          <w:i w:val="false"/>
          <w:iCs w:val="false"/>
          <w:color w:val="1A1A1A"/>
          <w:sz w:val="22"/>
          <w:szCs w:val="22"/>
        </w:rPr>
        <w:t xml:space="preserve">Within the training window, rows are recency-weighted: 2026 rows × 5, 2025 × 3, 2024 × 2, 2023 × 1. This tells the model that current-regime dynamics matter most.</w:t>
      </w:r>
    </w:p>
    <w:p>
      <w:pPr>
        <w:pStyle w:val="Heading2"/>
        <w:spacing w:after="120" w:before="280"/>
      </w:pPr>
      <w:r>
        <w:rPr>
          <w:rFonts w:ascii="Arial" w:cs="Arial" w:eastAsia="Arial" w:hAnsi="Arial"/>
          <w:b/>
          <w:bCs/>
          <w:color w:val="E31837"/>
          <w:sz w:val="26"/>
          <w:szCs w:val="26"/>
        </w:rPr>
        <w:t xml:space="preserve">6.4  Caveat on 50CL 26-week forecast</w:t>
      </w:r>
    </w:p>
    <w:p>
      <w:pPr>
        <w:spacing w:after="120" w:before="0"/>
        <w:jc w:val="left"/>
      </w:pPr>
      <w:r>
        <w:rPr>
          <w:rFonts w:ascii="Arial" w:cs="Arial" w:eastAsia="Arial" w:hAnsi="Arial"/>
          <w:b w:val="false"/>
          <w:bCs w:val="false"/>
          <w:i w:val="false"/>
          <w:iCs w:val="false"/>
          <w:color w:val="1A1A1A"/>
          <w:sz w:val="22"/>
          <w:szCs w:val="22"/>
        </w:rPr>
        <w:t xml:space="preserve">Even after v2.2, the 50CL 26-week P50 still projects a notable drop. The current elevated-price regime only has roughly 18 months of usable training pairs at 6-month horizon, which is thin. Treat the 26-week 50CL tile as a downside scenario rather than a point estimate.</w:t>
      </w:r>
    </w:p>
    <w:p>
      <w:pPr>
        <w:spacing w:after="80" w:before="0"/>
        <w:jc w:val="left"/>
      </w:pPr>
      <w:r>
        <w:rPr>
          <w:rFonts w:ascii="Arial" w:cs="Arial" w:eastAsia="Arial" w:hAnsi="Arial"/>
          <w:b w:val="false"/>
          <w:bCs w:val="false"/>
          <w:i/>
          <w:iCs/>
          <w:color w:val="374151"/>
          <w:sz w:val="22"/>
          <w:szCs w:val="22"/>
        </w:rPr>
        <w:t xml:space="preserve">This resolves itself as the daily pipeline accumulates more at-regime observations. No code change can fix a training-data-thinness problem.</w:t>
      </w:r>
    </w:p>
    <w:p>
      <w:r>
        <w:br w:type="page"/>
      </w:r>
    </w:p>
    <w:p>
      <w:pPr>
        <w:pStyle w:val="Heading1"/>
        <w:pBdr>
          <w:bottom w:val="single" w:color="E31837" w:sz="18" w:space="4"/>
        </w:pBdr>
        <w:spacing w:after="180" w:before="360"/>
      </w:pPr>
      <w:r>
        <w:rPr>
          <w:rFonts w:ascii="Arial" w:cs="Arial" w:eastAsia="Arial" w:hAnsi="Arial"/>
          <w:b/>
          <w:bCs/>
          <w:color w:val="1A1A1A"/>
          <w:sz w:val="34"/>
          <w:szCs w:val="34"/>
        </w:rPr>
        <w:t xml:space="preserve">6.5  Understanding the Forecasts</w:t>
      </w:r>
    </w:p>
    <w:p>
      <w:pPr>
        <w:spacing w:after="200" w:before="0"/>
        <w:jc w:val="left"/>
      </w:pPr>
      <w:r>
        <w:rPr>
          <w:rFonts w:ascii="Arial" w:cs="Arial" w:eastAsia="Arial" w:hAnsi="Arial"/>
          <w:b w:val="false"/>
          <w:bCs w:val="false"/>
          <w:i w:val="false"/>
          <w:iCs w:val="false"/>
          <w:color w:val="1A1A1A"/>
          <w:sz w:val="22"/>
          <w:szCs w:val="22"/>
        </w:rPr>
        <w:t xml:space="preserve">This section explains why the forecasts came out the way they did. It covers the logic end-to-end, the patterns the model learned from history, and how to read each live tile in the dashboard.</w:t>
      </w:r>
    </w:p>
    <w:p>
      <w:pPr>
        <w:pStyle w:val="Heading2"/>
        <w:spacing w:after="120" w:before="280"/>
      </w:pPr>
      <w:r>
        <w:rPr>
          <w:rFonts w:ascii="Arial" w:cs="Arial" w:eastAsia="Arial" w:hAnsi="Arial"/>
          <w:b/>
          <w:bCs/>
          <w:color w:val="E31837"/>
          <w:sz w:val="26"/>
          <w:szCs w:val="26"/>
        </w:rPr>
        <w:t xml:space="preserve">6.5.1  Brief methodology recap</w:t>
      </w:r>
    </w:p>
    <w:p>
      <w:pPr>
        <w:pStyle w:val="ListParagraph"/>
        <w:numPr>
          <w:ilvl w:val="0"/>
          <w:numId w:val="2"/>
        </w:numPr>
        <w:spacing w:after="60"/>
      </w:pPr>
      <w:r>
        <w:rPr>
          <w:rFonts w:ascii="Arial" w:cs="Arial" w:eastAsia="Arial" w:hAnsi="Arial"/>
          <w:b w:val="false"/>
          <w:bCs w:val="false"/>
          <w:color w:val="1A1A1A"/>
          <w:sz w:val="22"/>
          <w:szCs w:val="22"/>
        </w:rPr>
        <w:t xml:space="preserve">Daily USDA PDFs are parsed into structured JSON (one row per cut per day).</w:t>
      </w:r>
    </w:p>
    <w:p>
      <w:pPr>
        <w:pStyle w:val="ListParagraph"/>
        <w:numPr>
          <w:ilvl w:val="0"/>
          <w:numId w:val="2"/>
        </w:numPr>
        <w:spacing w:after="60"/>
      </w:pPr>
      <w:r>
        <w:rPr>
          <w:rFonts w:ascii="Arial" w:cs="Arial" w:eastAsia="Arial" w:hAnsi="Arial"/>
          <w:b w:val="false"/>
          <w:bCs w:val="false"/>
          <w:color w:val="1A1A1A"/>
          <w:sz w:val="22"/>
          <w:szCs w:val="22"/>
        </w:rPr>
        <w:t xml:space="preserve">Five years of MPR API history is joined into a single price time series per cut.</w:t>
      </w:r>
    </w:p>
    <w:p>
      <w:pPr>
        <w:pStyle w:val="ListParagraph"/>
        <w:numPr>
          <w:ilvl w:val="0"/>
          <w:numId w:val="2"/>
        </w:numPr>
        <w:spacing w:after="60"/>
      </w:pPr>
      <w:r>
        <w:rPr>
          <w:rFonts w:ascii="Arial" w:cs="Arial" w:eastAsia="Arial" w:hAnsi="Arial"/>
          <w:b w:val="false"/>
          <w:bCs w:val="false"/>
          <w:color w:val="1A1A1A"/>
          <w:sz w:val="22"/>
          <w:szCs w:val="22"/>
        </w:rPr>
        <w:t xml:space="preserve">Training is filtered to January 2023 onward so the model fits only the current supply regime.</w:t>
      </w:r>
    </w:p>
    <w:p>
      <w:pPr>
        <w:pStyle w:val="ListParagraph"/>
        <w:numPr>
          <w:ilvl w:val="0"/>
          <w:numId w:val="2"/>
        </w:numPr>
        <w:spacing w:after="60"/>
      </w:pPr>
      <w:r>
        <w:rPr>
          <w:rFonts w:ascii="Arial" w:cs="Arial" w:eastAsia="Arial" w:hAnsi="Arial"/>
          <w:b w:val="false"/>
          <w:bCs w:val="false"/>
          <w:color w:val="1A1A1A"/>
          <w:sz w:val="22"/>
          <w:szCs w:val="22"/>
        </w:rPr>
        <w:t xml:space="preserve">For each observation we build a 15-feature vector: lagged prices (1, 5, 20, 60 days), rolling means and standard deviations over 5/20/60 days, recent returns over 5 and 20 days, a sine/cosine encoding of day-of-year for seasonality, and calendar flags for day-of-week and month.</w:t>
      </w:r>
    </w:p>
    <w:p>
      <w:pPr>
        <w:pStyle w:val="ListParagraph"/>
        <w:numPr>
          <w:ilvl w:val="0"/>
          <w:numId w:val="2"/>
        </w:numPr>
        <w:spacing w:after="60"/>
      </w:pPr>
      <w:r>
        <w:rPr>
          <w:rFonts w:ascii="Arial" w:cs="Arial" w:eastAsia="Arial" w:hAnsi="Arial"/>
          <w:b w:val="false"/>
          <w:bCs w:val="false"/>
          <w:color w:val="1A1A1A"/>
          <w:sz w:val="22"/>
          <w:szCs w:val="22"/>
        </w:rPr>
        <w:t xml:space="preserve">For every combination of (cut × horizon) we train three quantile gradient-boosting models: α = 0.1 (P10 / Best), α = 0.5 (P50 / Base), α = 0.9 (P90 / Worst). Each model is 200 trees of depth 4, stochastically subsampled at 80%.</w:t>
      </w:r>
    </w:p>
    <w:p>
      <w:pPr>
        <w:pStyle w:val="ListParagraph"/>
        <w:numPr>
          <w:ilvl w:val="0"/>
          <w:numId w:val="2"/>
        </w:numPr>
        <w:spacing w:after="60"/>
      </w:pPr>
      <w:r>
        <w:rPr>
          <w:rFonts w:ascii="Arial" w:cs="Arial" w:eastAsia="Arial" w:hAnsi="Arial"/>
          <w:b w:val="false"/>
          <w:bCs w:val="false"/>
          <w:color w:val="1A1A1A"/>
          <w:sz w:val="22"/>
          <w:szCs w:val="22"/>
        </w:rPr>
        <w:t xml:space="preserve">Training is recency-weighted: rows in 2026 × 5, 2025 × 3, 2024 × 2, 2023 × 1. The test split stays uniformly weighted so backtest RMSE remains honest.</w:t>
      </w:r>
    </w:p>
    <w:p>
      <w:pPr>
        <w:pStyle w:val="ListParagraph"/>
        <w:numPr>
          <w:ilvl w:val="0"/>
          <w:numId w:val="2"/>
        </w:numPr>
        <w:spacing w:after="60"/>
      </w:pPr>
      <w:r>
        <w:rPr>
          <w:rFonts w:ascii="Arial" w:cs="Arial" w:eastAsia="Arial" w:hAnsi="Arial"/>
          <w:b w:val="false"/>
          <w:bCs w:val="false"/>
          <w:color w:val="1A1A1A"/>
          <w:sz w:val="22"/>
          <w:szCs w:val="22"/>
        </w:rPr>
        <w:t xml:space="preserve">Every forecast passes a backtest gate. If the GBM loses to a seasonal-naive baseline (predict today’s price using the same day one year ago) on held-out data, that horizon falls back to the parametric model.</w:t>
      </w:r>
    </w:p>
    <w:p>
      <w:pPr>
        <w:pStyle w:val="Heading2"/>
        <w:spacing w:after="120" w:before="280"/>
      </w:pPr>
      <w:r>
        <w:rPr>
          <w:rFonts w:ascii="Arial" w:cs="Arial" w:eastAsia="Arial" w:hAnsi="Arial"/>
          <w:b/>
          <w:bCs/>
          <w:color w:val="E31837"/>
          <w:sz w:val="26"/>
          <w:szCs w:val="26"/>
        </w:rPr>
        <w:t xml:space="preserve">6.5.2  Patterns the model identified in historical data</w:t>
      </w:r>
    </w:p>
    <w:p>
      <w:pPr>
        <w:pStyle w:val="Heading3"/>
        <w:spacing w:after="80" w:before="200"/>
      </w:pPr>
      <w:r>
        <w:rPr>
          <w:rFonts w:ascii="Arial" w:cs="Arial" w:eastAsia="Arial" w:hAnsi="Arial"/>
          <w:b/>
          <w:bCs/>
          <w:color w:val="8B4513"/>
          <w:sz w:val="22"/>
          <w:szCs w:val="22"/>
        </w:rPr>
        <w:t xml:space="preserve">85CL Lean Ground Beef</w:t>
      </w:r>
    </w:p>
    <w:p>
      <w:pPr>
        <w:pStyle w:val="ListParagraph"/>
        <w:numPr>
          <w:ilvl w:val="0"/>
          <w:numId w:val="2"/>
        </w:numPr>
        <w:spacing w:after="60"/>
      </w:pPr>
      <w:r>
        <w:rPr>
          <w:rFonts w:ascii="Arial" w:cs="Arial" w:eastAsia="Arial" w:hAnsi="Arial"/>
          <w:b w:val="false"/>
          <w:bCs w:val="false"/>
          <w:color w:val="1A1A1A"/>
          <w:sz w:val="22"/>
          <w:szCs w:val="22"/>
        </w:rPr>
        <w:t xml:space="preserve">Persistent upward drift across the training window. Prices climbed from roughly $3.20-3.40/lb in early 2023 to $3.90+ by early 2026 without any major reversion.</w:t>
      </w:r>
    </w:p>
    <w:p>
      <w:pPr>
        <w:pStyle w:val="ListParagraph"/>
        <w:numPr>
          <w:ilvl w:val="0"/>
          <w:numId w:val="2"/>
        </w:numPr>
        <w:spacing w:after="60"/>
      </w:pPr>
      <w:r>
        <w:rPr>
          <w:rFonts w:ascii="Arial" w:cs="Arial" w:eastAsia="Arial" w:hAnsi="Arial"/>
          <w:b w:val="false"/>
          <w:bCs w:val="false"/>
          <w:color w:val="1A1A1A"/>
          <w:sz w:val="22"/>
          <w:szCs w:val="22"/>
        </w:rPr>
        <w:t xml:space="preserve">Tight monthly volatility (roughly 3-4% one-sigma). Directional moves are usually small and sustained, not sharp spikes.</w:t>
      </w:r>
    </w:p>
    <w:p>
      <w:pPr>
        <w:pStyle w:val="ListParagraph"/>
        <w:numPr>
          <w:ilvl w:val="0"/>
          <w:numId w:val="2"/>
        </w:numPr>
        <w:spacing w:after="60"/>
      </w:pPr>
      <w:r>
        <w:rPr>
          <w:rFonts w:ascii="Arial" w:cs="Arial" w:eastAsia="Arial" w:hAnsi="Arial"/>
          <w:b w:val="false"/>
          <w:bCs w:val="false"/>
          <w:color w:val="1A1A1A"/>
          <w:sz w:val="22"/>
          <w:szCs w:val="22"/>
        </w:rPr>
        <w:t xml:space="preserve">Mild seasonal pattern with a modest peak around mid-year. The amplitude is small enough that seasonality is a secondary driver relative to trend.</w:t>
      </w:r>
    </w:p>
    <w:p>
      <w:pPr>
        <w:pStyle w:val="ListParagraph"/>
        <w:numPr>
          <w:ilvl w:val="0"/>
          <w:numId w:val="2"/>
        </w:numPr>
        <w:spacing w:after="60"/>
      </w:pPr>
      <w:r>
        <w:rPr>
          <w:rFonts w:ascii="Arial" w:cs="Arial" w:eastAsia="Arial" w:hAnsi="Arial"/>
          <w:b w:val="false"/>
          <w:bCs w:val="false"/>
          <w:color w:val="1A1A1A"/>
          <w:sz w:val="22"/>
          <w:szCs w:val="22"/>
        </w:rPr>
        <w:t xml:space="preserve">1-week lagged price and 20-day rolling mean were by far the strongest features. Calendar features contributed modest skill.</w:t>
      </w:r>
    </w:p>
    <w:p>
      <w:pPr>
        <w:pStyle w:val="Heading3"/>
        <w:spacing w:after="80" w:before="200"/>
      </w:pPr>
      <w:r>
        <w:rPr>
          <w:rFonts w:ascii="Arial" w:cs="Arial" w:eastAsia="Arial" w:hAnsi="Arial"/>
          <w:b/>
          <w:bCs/>
          <w:color w:val="8B4513"/>
          <w:sz w:val="22"/>
          <w:szCs w:val="22"/>
        </w:rPr>
        <w:t xml:space="preserve">50CL Fat Trim</w:t>
      </w:r>
    </w:p>
    <w:p>
      <w:pPr>
        <w:pStyle w:val="ListParagraph"/>
        <w:numPr>
          <w:ilvl w:val="0"/>
          <w:numId w:val="2"/>
        </w:numPr>
        <w:spacing w:after="60"/>
      </w:pPr>
      <w:r>
        <w:rPr>
          <w:rFonts w:ascii="Arial" w:cs="Arial" w:eastAsia="Arial" w:hAnsi="Arial"/>
          <w:b w:val="false"/>
          <w:bCs w:val="false"/>
          <w:color w:val="1A1A1A"/>
          <w:sz w:val="22"/>
          <w:szCs w:val="22"/>
        </w:rPr>
        <w:t xml:space="preserve">Clear regime shift visible. 2023 trading range was roughly $80-130/cwt; the market migrated upward through 2024 and sits at $180-$200 in 2026.</w:t>
      </w:r>
    </w:p>
    <w:p>
      <w:pPr>
        <w:pStyle w:val="ListParagraph"/>
        <w:numPr>
          <w:ilvl w:val="0"/>
          <w:numId w:val="2"/>
        </w:numPr>
        <w:spacing w:after="60"/>
      </w:pPr>
      <w:r>
        <w:rPr>
          <w:rFonts w:ascii="Arial" w:cs="Arial" w:eastAsia="Arial" w:hAnsi="Arial"/>
          <w:b w:val="false"/>
          <w:bCs w:val="false"/>
          <w:color w:val="1A1A1A"/>
          <w:sz w:val="22"/>
          <w:szCs w:val="22"/>
        </w:rPr>
        <w:t xml:space="preserve">Higher monthly volatility than 85CL (roughly 5-6% one-sigma). Fat trim tends to move more sharply on short-term processing demand.</w:t>
      </w:r>
    </w:p>
    <w:p>
      <w:pPr>
        <w:pStyle w:val="ListParagraph"/>
        <w:numPr>
          <w:ilvl w:val="0"/>
          <w:numId w:val="2"/>
        </w:numPr>
        <w:spacing w:after="60"/>
      </w:pPr>
      <w:r>
        <w:rPr>
          <w:rFonts w:ascii="Arial" w:cs="Arial" w:eastAsia="Arial" w:hAnsi="Arial"/>
          <w:b w:val="false"/>
          <w:bCs w:val="false"/>
          <w:color w:val="1A1A1A"/>
          <w:sz w:val="22"/>
          <w:szCs w:val="22"/>
        </w:rPr>
        <w:t xml:space="preserve">Strong summer seasonal peak. Historically the mid-year surge is the largest seasonal signal in the 50CL series.</w:t>
      </w:r>
    </w:p>
    <w:p>
      <w:pPr>
        <w:pStyle w:val="ListParagraph"/>
        <w:numPr>
          <w:ilvl w:val="0"/>
          <w:numId w:val="2"/>
        </w:numPr>
        <w:spacing w:after="60"/>
      </w:pPr>
      <w:r>
        <w:rPr>
          <w:rFonts w:ascii="Arial" w:cs="Arial" w:eastAsia="Arial" w:hAnsi="Arial"/>
          <w:b w:val="false"/>
          <w:bCs w:val="false"/>
          <w:color w:val="1A1A1A"/>
          <w:sz w:val="22"/>
          <w:szCs w:val="22"/>
        </w:rPr>
        <w:t xml:space="preserve">Only about 18 months of at-current-regime training pairs exist for 26-week horizon prediction. For short-horizon forecasts this is plenty; for long-horizon, it is thin.</w:t>
      </w:r>
    </w:p>
    <w:p>
      <w:pPr>
        <w:pStyle w:val="Heading3"/>
        <w:spacing w:after="80" w:before="200"/>
      </w:pPr>
      <w:r>
        <w:rPr>
          <w:rFonts w:ascii="Arial" w:cs="Arial" w:eastAsia="Arial" w:hAnsi="Arial"/>
          <w:b/>
          <w:bCs/>
          <w:color w:val="8B4513"/>
          <w:sz w:val="22"/>
          <w:szCs w:val="22"/>
        </w:rPr>
        <w:t xml:space="preserve">65CL Lean</w:t>
      </w:r>
    </w:p>
    <w:p>
      <w:pPr>
        <w:pStyle w:val="ListParagraph"/>
        <w:numPr>
          <w:ilvl w:val="0"/>
          <w:numId w:val="2"/>
        </w:numPr>
        <w:spacing w:after="60"/>
      </w:pPr>
      <w:r>
        <w:rPr>
          <w:rFonts w:ascii="Arial" w:cs="Arial" w:eastAsia="Arial" w:hAnsi="Arial"/>
          <w:b w:val="false"/>
          <w:bCs w:val="false"/>
          <w:color w:val="1A1A1A"/>
          <w:sz w:val="22"/>
          <w:szCs w:val="22"/>
        </w:rPr>
        <w:t xml:space="preserve">Smooth upward drift that tracks 85CL closely but with lower trading volume.</w:t>
      </w:r>
    </w:p>
    <w:p>
      <w:pPr>
        <w:pStyle w:val="ListParagraph"/>
        <w:numPr>
          <w:ilvl w:val="0"/>
          <w:numId w:val="2"/>
        </w:numPr>
        <w:spacing w:after="60"/>
      </w:pPr>
      <w:r>
        <w:rPr>
          <w:rFonts w:ascii="Arial" w:cs="Arial" w:eastAsia="Arial" w:hAnsi="Arial"/>
          <w:b w:val="false"/>
          <w:bCs w:val="false"/>
          <w:color w:val="1A1A1A"/>
          <w:sz w:val="22"/>
          <w:szCs w:val="22"/>
        </w:rPr>
        <w:t xml:space="preserve">Fewer daily observations overall (697 rows vs 1,214 for 85CL). Thinner market, so individual trades move the weighted average more.</w:t>
      </w:r>
    </w:p>
    <w:p>
      <w:pPr>
        <w:pStyle w:val="ListParagraph"/>
        <w:numPr>
          <w:ilvl w:val="0"/>
          <w:numId w:val="2"/>
        </w:numPr>
        <w:spacing w:after="60"/>
      </w:pPr>
      <w:r>
        <w:rPr>
          <w:rFonts w:ascii="Arial" w:cs="Arial" w:eastAsia="Arial" w:hAnsi="Arial"/>
          <w:b w:val="false"/>
          <w:bCs w:val="false"/>
          <w:color w:val="1A1A1A"/>
          <w:sz w:val="22"/>
          <w:szCs w:val="22"/>
        </w:rPr>
        <w:t xml:space="preserve">Recency weighting materially improved the forecast direction. Before v2.2 the model projected mild reversion; after v2.2 it correctly projects continued elevation.</w:t>
      </w:r>
    </w:p>
    <w:p>
      <w:pPr>
        <w:pStyle w:val="Heading2"/>
        <w:spacing w:after="120" w:before="280"/>
      </w:pPr>
      <w:r>
        <w:rPr>
          <w:rFonts w:ascii="Arial" w:cs="Arial" w:eastAsia="Arial" w:hAnsi="Arial"/>
          <w:b/>
          <w:bCs/>
          <w:color w:val="E31837"/>
          <w:sz w:val="26"/>
          <w:szCs w:val="26"/>
        </w:rPr>
        <w:t xml:space="preserve">6.5.3  How to read each live forecast</w:t>
      </w:r>
    </w:p>
    <w:p>
      <w:pPr>
        <w:pStyle w:val="Heading3"/>
        <w:spacing w:after="80" w:before="200"/>
      </w:pPr>
      <w:r>
        <w:rPr>
          <w:rFonts w:ascii="Arial" w:cs="Arial" w:eastAsia="Arial" w:hAnsi="Arial"/>
          <w:b/>
          <w:bCs/>
          <w:color w:val="8B4513"/>
          <w:sz w:val="22"/>
          <w:szCs w:val="22"/>
        </w:rPr>
        <w:t xml:space="preserve">85CL — near-flat over 6 months</w:t>
      </w:r>
    </w:p>
    <w:p>
      <w:pPr>
        <w:spacing w:after="120" w:before="0"/>
        <w:jc w:val="left"/>
      </w:pPr>
      <w:r>
        <w:rPr>
          <w:rFonts w:ascii="Arial" w:cs="Arial" w:eastAsia="Arial" w:hAnsi="Arial"/>
          <w:b/>
          <w:bCs/>
          <w:i w:val="false"/>
          <w:iCs w:val="false"/>
          <w:color w:val="1A1A1A"/>
          <w:sz w:val="22"/>
          <w:szCs w:val="22"/>
        </w:rPr>
        <w:t xml:space="preserve">Why it looks this way: </w:t>
      </w:r>
      <w:r>
        <w:rPr>
          <w:rFonts w:ascii="Arial" w:cs="Arial" w:eastAsia="Arial" w:hAnsi="Arial"/>
          <w:b w:val="false"/>
          <w:bCs w:val="false"/>
          <w:i w:val="false"/>
          <w:iCs w:val="false"/>
          <w:color w:val="1A1A1A"/>
          <w:sz w:val="22"/>
          <w:szCs w:val="22"/>
        </w:rPr>
        <w:t xml:space="preserve">the model sees a consistent upward drift in recent data with no historical reversion patterns matching today’s feature vector. It concludes the current price level is sustainable with minor seasonal softening.</w:t>
      </w:r>
    </w:p>
    <w:p>
      <w:pPr>
        <w:spacing w:after="180" w:before="0"/>
        <w:jc w:val="left"/>
      </w:pPr>
      <w:r>
        <w:rPr>
          <w:rFonts w:ascii="Arial" w:cs="Arial" w:eastAsia="Arial" w:hAnsi="Arial"/>
          <w:b/>
          <w:bCs/>
          <w:i w:val="false"/>
          <w:iCs w:val="false"/>
          <w:color w:val="1A1A1A"/>
          <w:sz w:val="22"/>
          <w:szCs w:val="22"/>
        </w:rPr>
        <w:t xml:space="preserve">What to do with it: </w:t>
      </w:r>
      <w:r>
        <w:rPr>
          <w:rFonts w:ascii="Arial" w:cs="Arial" w:eastAsia="Arial" w:hAnsi="Arial"/>
          <w:b w:val="false"/>
          <w:bCs w:val="false"/>
          <w:i w:val="false"/>
          <w:iCs w:val="false"/>
          <w:color w:val="1A1A1A"/>
          <w:sz w:val="22"/>
          <w:szCs w:val="22"/>
        </w:rPr>
        <w:t xml:space="preserve">trust. 1-week GBM RMSE is roughly $10/cwt on held-out data, a substantial improvement over baseline. Lock forward contracts where commercial terms allow; do not expect material relief before Q3.</w:t>
      </w:r>
    </w:p>
    <w:p>
      <w:pPr>
        <w:pStyle w:val="Heading3"/>
        <w:spacing w:after="80" w:before="200"/>
      </w:pPr>
      <w:r>
        <w:rPr>
          <w:rFonts w:ascii="Arial" w:cs="Arial" w:eastAsia="Arial" w:hAnsi="Arial"/>
          <w:b/>
          <w:bCs/>
          <w:color w:val="8B4513"/>
          <w:sz w:val="22"/>
          <w:szCs w:val="22"/>
        </w:rPr>
        <w:t xml:space="preserve">50CL — bearish base case, wide worst-case tile</w:t>
      </w:r>
    </w:p>
    <w:p>
      <w:pPr>
        <w:spacing w:after="120" w:before="0"/>
        <w:jc w:val="left"/>
      </w:pPr>
      <w:r>
        <w:rPr>
          <w:rFonts w:ascii="Arial" w:cs="Arial" w:eastAsia="Arial" w:hAnsi="Arial"/>
          <w:b/>
          <w:bCs/>
          <w:i w:val="false"/>
          <w:iCs w:val="false"/>
          <w:color w:val="1A1A1A"/>
          <w:sz w:val="22"/>
          <w:szCs w:val="22"/>
        </w:rPr>
        <w:t xml:space="preserve">Why it looks this way: </w:t>
      </w:r>
      <w:r>
        <w:rPr>
          <w:rFonts w:ascii="Arial" w:cs="Arial" w:eastAsia="Arial" w:hAnsi="Arial"/>
          <w:b w:val="false"/>
          <w:bCs w:val="false"/>
          <w:i w:val="false"/>
          <w:iCs w:val="false"/>
          <w:color w:val="1A1A1A"/>
          <w:sz w:val="22"/>
          <w:szCs w:val="22"/>
        </w:rPr>
        <w:t xml:space="preserve">short-horizon forecasts (1-4 weeks) are realistic at roughly -3% to -13% because recent data dominates. At 13-week horizon the model lost the backtest against seasonal-naive, so it falls back to parametric — that is the transparency gate working. At 26-week horizon the model has fewer matched examples at the current high-price level, so it reaches further back in training data and projects reversion toward a historical mean that may no longer apply.</w:t>
      </w:r>
    </w:p>
    <w:p>
      <w:pPr>
        <w:spacing w:after="180" w:before="0"/>
        <w:jc w:val="left"/>
      </w:pPr>
      <w:r>
        <w:rPr>
          <w:rFonts w:ascii="Arial" w:cs="Arial" w:eastAsia="Arial" w:hAnsi="Arial"/>
          <w:b/>
          <w:bCs/>
          <w:i w:val="false"/>
          <w:iCs w:val="false"/>
          <w:color w:val="1A1A1A"/>
          <w:sz w:val="22"/>
          <w:szCs w:val="22"/>
        </w:rPr>
        <w:t xml:space="preserve">What to do with it: </w:t>
      </w:r>
      <w:r>
        <w:rPr>
          <w:rFonts w:ascii="Arial" w:cs="Arial" w:eastAsia="Arial" w:hAnsi="Arial"/>
          <w:b w:val="false"/>
          <w:bCs w:val="false"/>
          <w:i w:val="false"/>
          <w:iCs w:val="false"/>
          <w:color w:val="1A1A1A"/>
          <w:sz w:val="22"/>
          <w:szCs w:val="22"/>
        </w:rPr>
        <w:t xml:space="preserve">use the 1-4 week values for weekly buy decisions. Treat the 26-week P50 as a downside scenario, not a point estimate. Do not lock 6-month forward supply on the assumption 50CL will fall by half. Watch the daily pipeline accumulate more at-regime observations over the next four to six months — the long-horizon forecast will re-anchor as the training data fills in.</w:t>
      </w:r>
    </w:p>
    <w:p>
      <w:pPr>
        <w:pStyle w:val="Heading3"/>
        <w:spacing w:after="80" w:before="200"/>
      </w:pPr>
      <w:r>
        <w:rPr>
          <w:rFonts w:ascii="Arial" w:cs="Arial" w:eastAsia="Arial" w:hAnsi="Arial"/>
          <w:b/>
          <w:bCs/>
          <w:color w:val="8B4513"/>
          <w:sz w:val="22"/>
          <w:szCs w:val="22"/>
        </w:rPr>
        <w:t xml:space="preserve">65CL — moderate hold with mild mid-year softening</w:t>
      </w:r>
    </w:p>
    <w:p>
      <w:pPr>
        <w:spacing w:after="120" w:before="0"/>
        <w:jc w:val="left"/>
      </w:pPr>
      <w:r>
        <w:rPr>
          <w:rFonts w:ascii="Arial" w:cs="Arial" w:eastAsia="Arial" w:hAnsi="Arial"/>
          <w:b/>
          <w:bCs/>
          <w:i w:val="false"/>
          <w:iCs w:val="false"/>
          <w:color w:val="1A1A1A"/>
          <w:sz w:val="22"/>
          <w:szCs w:val="22"/>
        </w:rPr>
        <w:t xml:space="preserve">Why it looks this way: </w:t>
      </w:r>
      <w:r>
        <w:rPr>
          <w:rFonts w:ascii="Arial" w:cs="Arial" w:eastAsia="Arial" w:hAnsi="Arial"/>
          <w:b w:val="false"/>
          <w:bCs w:val="false"/>
          <w:i w:val="false"/>
          <w:iCs w:val="false"/>
          <w:color w:val="1A1A1A"/>
          <w:sz w:val="22"/>
          <w:szCs w:val="22"/>
        </w:rPr>
        <w:t xml:space="preserve">recency weighting pulled the forecast upward to match the 2024-2026 climb. The seasonal sine component contributes a mild mid-year dip that fades by late 2026.</w:t>
      </w:r>
    </w:p>
    <w:p>
      <w:pPr>
        <w:spacing w:after="180" w:before="0"/>
        <w:jc w:val="left"/>
      </w:pPr>
      <w:r>
        <w:rPr>
          <w:rFonts w:ascii="Arial" w:cs="Arial" w:eastAsia="Arial" w:hAnsi="Arial"/>
          <w:b/>
          <w:bCs/>
          <w:i w:val="false"/>
          <w:iCs w:val="false"/>
          <w:color w:val="1A1A1A"/>
          <w:sz w:val="22"/>
          <w:szCs w:val="22"/>
        </w:rPr>
        <w:t xml:space="preserve">What to do with it: </w:t>
      </w:r>
      <w:r>
        <w:rPr>
          <w:rFonts w:ascii="Arial" w:cs="Arial" w:eastAsia="Arial" w:hAnsi="Arial"/>
          <w:b w:val="false"/>
          <w:bCs w:val="false"/>
          <w:i w:val="false"/>
          <w:iCs w:val="false"/>
          <w:color w:val="1A1A1A"/>
          <w:sz w:val="22"/>
          <w:szCs w:val="22"/>
        </w:rPr>
        <w:t xml:space="preserve">moderate trust. With 697 observations the model has enough signal for short- and medium-horizon forecasts, but the thin daily trading volume means any individual day’s anchor can swing more than 85CL. Use as confirmation of 85CL trends rather than as a primary decision input.</w:t>
      </w:r>
    </w:p>
    <w:p>
      <w:pPr>
        <w:pStyle w:val="Heading2"/>
        <w:spacing w:after="120" w:before="280"/>
      </w:pPr>
      <w:r>
        <w:rPr>
          <w:rFonts w:ascii="Arial" w:cs="Arial" w:eastAsia="Arial" w:hAnsi="Arial"/>
          <w:b/>
          <w:bCs/>
          <w:color w:val="E31837"/>
          <w:sz w:val="26"/>
          <w:szCs w:val="26"/>
        </w:rPr>
        <w:t xml:space="preserve">6.5.4  What the model cannot see yet</w:t>
      </w:r>
    </w:p>
    <w:p>
      <w:pPr>
        <w:spacing w:after="140" w:before="0"/>
        <w:jc w:val="left"/>
      </w:pPr>
      <w:r>
        <w:rPr>
          <w:rFonts w:ascii="Arial" w:cs="Arial" w:eastAsia="Arial" w:hAnsi="Arial"/>
          <w:b w:val="false"/>
          <w:bCs w:val="false"/>
          <w:i w:val="false"/>
          <w:iCs w:val="false"/>
          <w:color w:val="1A1A1A"/>
          <w:sz w:val="22"/>
          <w:szCs w:val="22"/>
        </w:rPr>
        <w:t xml:space="preserve">These features are intentionally excluded from v2.2 to keep the baseline interpretable. Each is a known v3 upgrade candidate:</w:t>
      </w:r>
    </w:p>
    <w:p>
      <w:pPr>
        <w:pStyle w:val="ListParagraph"/>
        <w:numPr>
          <w:ilvl w:val="0"/>
          <w:numId w:val="2"/>
        </w:numPr>
        <w:spacing w:after="60"/>
      </w:pPr>
      <w:r>
        <w:rPr>
          <w:rFonts w:ascii="Arial" w:cs="Arial" w:eastAsia="Arial" w:hAnsi="Arial"/>
          <w:b w:val="false"/>
          <w:bCs w:val="false"/>
          <w:color w:val="1A1A1A"/>
          <w:sz w:val="22"/>
          <w:szCs w:val="22"/>
        </w:rPr>
        <w:t xml:space="preserve">Drought index (USDA U.S. Drought Monitor) — would tell the model about upstream herd pressure.</w:t>
      </w:r>
    </w:p>
    <w:p>
      <w:pPr>
        <w:pStyle w:val="ListParagraph"/>
        <w:numPr>
          <w:ilvl w:val="0"/>
          <w:numId w:val="2"/>
        </w:numPr>
        <w:spacing w:after="60"/>
      </w:pPr>
      <w:r>
        <w:rPr>
          <w:rFonts w:ascii="Arial" w:cs="Arial" w:eastAsia="Arial" w:hAnsi="Arial"/>
          <w:b w:val="false"/>
          <w:bCs w:val="false"/>
          <w:color w:val="1A1A1A"/>
          <w:sz w:val="22"/>
          <w:szCs w:val="22"/>
        </w:rPr>
        <w:t xml:space="preserve">CME Live Cattle futures and basis — would incorporate the market’s own forward view.</w:t>
      </w:r>
    </w:p>
    <w:p>
      <w:pPr>
        <w:pStyle w:val="ListParagraph"/>
        <w:numPr>
          <w:ilvl w:val="0"/>
          <w:numId w:val="2"/>
        </w:numPr>
        <w:spacing w:after="60"/>
      </w:pPr>
      <w:r>
        <w:rPr>
          <w:rFonts w:ascii="Arial" w:cs="Arial" w:eastAsia="Arial" w:hAnsi="Arial"/>
          <w:b w:val="false"/>
          <w:bCs w:val="false"/>
          <w:color w:val="1A1A1A"/>
          <w:sz w:val="22"/>
          <w:szCs w:val="22"/>
        </w:rPr>
        <w:t xml:space="preserve">Corn / feed futures — primary driver of cattle finishing cost and thus future slaughter weight.</w:t>
      </w:r>
    </w:p>
    <w:p>
      <w:pPr>
        <w:pStyle w:val="ListParagraph"/>
        <w:numPr>
          <w:ilvl w:val="0"/>
          <w:numId w:val="2"/>
        </w:numPr>
        <w:spacing w:after="60"/>
      </w:pPr>
      <w:r>
        <w:rPr>
          <w:rFonts w:ascii="Arial" w:cs="Arial" w:eastAsia="Arial" w:hAnsi="Arial"/>
          <w:b w:val="false"/>
          <w:bCs w:val="false"/>
          <w:color w:val="1A1A1A"/>
          <w:sz w:val="22"/>
          <w:szCs w:val="22"/>
        </w:rPr>
        <w:t xml:space="preserve">Cattle-on-feed reports — monthly USDA NASS release that signals 3-6 months of fed-beef availability.</w:t>
      </w:r>
    </w:p>
    <w:p>
      <w:pPr>
        <w:pStyle w:val="ListParagraph"/>
        <w:numPr>
          <w:ilvl w:val="0"/>
          <w:numId w:val="2"/>
        </w:numPr>
        <w:spacing w:after="60"/>
      </w:pPr>
      <w:r>
        <w:rPr>
          <w:rFonts w:ascii="Arial" w:cs="Arial" w:eastAsia="Arial" w:hAnsi="Arial"/>
          <w:b w:val="false"/>
          <w:bCs w:val="false"/>
          <w:color w:val="1A1A1A"/>
          <w:sz w:val="22"/>
          <w:szCs w:val="22"/>
        </w:rPr>
        <w:t xml:space="preserve">Cold storage stocks — affects the processing sector’s willingness to pay for trim.</w:t>
      </w:r>
    </w:p>
    <w:p>
      <w:pPr>
        <w:spacing w:after="200" w:before="0"/>
        <w:jc w:val="left"/>
      </w:pPr>
      <w:r>
        <w:rPr>
          <w:rFonts w:ascii="Arial" w:cs="Arial" w:eastAsia="Arial" w:hAnsi="Arial"/>
          <w:b w:val="false"/>
          <w:bCs w:val="false"/>
          <w:i/>
          <w:iCs/>
          <w:color w:val="374151"/>
          <w:sz w:val="22"/>
          <w:szCs w:val="22"/>
        </w:rPr>
        <w:t xml:space="preserve">Without these exogenous signals, the model extrapolates from price patterns alone. That is why the forecast is most reliable at short horizons and less reliable at long horizons — long-horizon accuracy depends on the factors it cannot see.</w:t>
      </w:r>
    </w:p>
    <w:p>
      <w:r>
        <w:br w:type="page"/>
      </w:r>
    </w:p>
    <w:p>
      <w:pPr>
        <w:pStyle w:val="Heading1"/>
        <w:pBdr>
          <w:bottom w:val="single" w:color="E31837" w:sz="18" w:space="4"/>
        </w:pBdr>
        <w:spacing w:after="180" w:before="360"/>
      </w:pPr>
      <w:r>
        <w:rPr>
          <w:rFonts w:ascii="Arial" w:cs="Arial" w:eastAsia="Arial" w:hAnsi="Arial"/>
          <w:b/>
          <w:bCs/>
          <w:color w:val="1A1A1A"/>
          <w:sz w:val="34"/>
          <w:szCs w:val="34"/>
        </w:rPr>
        <w:t xml:space="preserve">7. Operational Runbook</w:t>
      </w:r>
    </w:p>
    <w:p>
      <w:pPr>
        <w:pStyle w:val="Heading2"/>
        <w:spacing w:after="120" w:before="280"/>
      </w:pPr>
      <w:r>
        <w:rPr>
          <w:rFonts w:ascii="Arial" w:cs="Arial" w:eastAsia="Arial" w:hAnsi="Arial"/>
          <w:b/>
          <w:bCs/>
          <w:color w:val="E31837"/>
          <w:sz w:val="26"/>
          <w:szCs w:val="26"/>
        </w:rPr>
        <w:t xml:space="preserve">7.1  Daily automated run</w:t>
      </w:r>
    </w:p>
    <w:p>
      <w:pPr>
        <w:spacing w:after="80" w:before="0"/>
        <w:jc w:val="left"/>
      </w:pPr>
      <w:r>
        <w:rPr>
          <w:rFonts w:ascii="Arial" w:cs="Arial" w:eastAsia="Arial" w:hAnsi="Arial"/>
          <w:b w:val="false"/>
          <w:bCs w:val="false"/>
          <w:i w:val="false"/>
          <w:iCs w:val="false"/>
          <w:color w:val="1A1A1A"/>
          <w:sz w:val="22"/>
          <w:szCs w:val="22"/>
        </w:rPr>
        <w:t xml:space="preserve">Windows Task Scheduler fires run_usda_updater.bat at 3:30 PM Central. Output appended to update.log. Zero-touch once configured.</w:t>
      </w:r>
    </w:p>
    <w:tbl>
      <w:tblPr>
        <w:tblW w:type="dxa" w:w="9360"/>
        <w:tblBorders>
          <w:top w:val="single" w:color="8B4513" w:sz="4"/>
          <w:left w:val="single" w:color="8B4513" w:sz="4"/>
          <w:bottom w:val="single" w:color="8B4513" w:sz="4"/>
          <w:right w:val="single" w:color="8B4513" w:sz="4"/>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60"/>
              <w:left w:type="dxa" w:w="200"/>
              <w:bottom w:type="dxa" w:w="60"/>
              <w:right w:type="dxa" w:w="200"/>
            </w:tcMar>
          </w:tcPr>
          <w:p>
            <w:r>
              <w:rPr>
                <w:rFonts w:ascii="Consolas" w:cs="Consolas" w:eastAsia="Consolas" w:hAnsi="Consolas"/>
                <w:b/>
                <w:bCs/>
                <w:color w:val="FFFFFF"/>
                <w:sz w:val="16"/>
                <w:szCs w:val="16"/>
              </w:rPr>
              <w:t xml:space="preserve">run_usda_updater.bat</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@echo off</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cd /d "C:\Users\nagar\Downloads\Meat Inteligence Dashboard"</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set PYTHONIOENCODING=utf-8</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set PYTHONUTF8=1</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echo Run started: %date% %time% &gt;&gt; update.log</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python.exe update_usda_data.py &gt;&gt; update.log 2&gt;&amp;1</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echo Run finished: %date% %time% &gt;&gt; update.log</w:t>
            </w:r>
          </w:p>
        </w:tc>
      </w:tr>
    </w:tbl>
    <w:p>
      <w:pPr>
        <w:spacing w:before="240"/>
      </w:pPr>
      <w:r>
        <w:t xml:space="preserve"> </w:t>
      </w:r>
    </w:p>
    <w:p>
      <w:pPr>
        <w:pStyle w:val="Heading2"/>
        <w:spacing w:after="120" w:before="280"/>
      </w:pPr>
      <w:r>
        <w:rPr>
          <w:rFonts w:ascii="Arial" w:cs="Arial" w:eastAsia="Arial" w:hAnsi="Arial"/>
          <w:b/>
          <w:bCs/>
          <w:color w:val="E31837"/>
          <w:sz w:val="26"/>
          <w:szCs w:val="26"/>
        </w:rPr>
        <w:t xml:space="preserve">7.2  Manual run</w:t>
      </w:r>
    </w:p>
    <w:tbl>
      <w:tblPr>
        <w:tblW w:type="dxa" w:w="9360"/>
        <w:tblBorders>
          <w:top w:val="single" w:color="8B4513" w:sz="4"/>
          <w:left w:val="single" w:color="8B4513" w:sz="4"/>
          <w:bottom w:val="single" w:color="8B4513" w:sz="4"/>
          <w:right w:val="single" w:color="8B4513" w:sz="4"/>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60"/>
              <w:left w:type="dxa" w:w="200"/>
              <w:bottom w:type="dxa" w:w="60"/>
              <w:right w:type="dxa" w:w="200"/>
            </w:tcMar>
          </w:tcPr>
          <w:p>
            <w:r>
              <w:rPr>
                <w:rFonts w:ascii="Consolas" w:cs="Consolas" w:eastAsia="Consolas" w:hAnsi="Consolas"/>
                <w:b/>
                <w:bCs/>
                <w:color w:val="FFFFFF"/>
                <w:sz w:val="16"/>
                <w:szCs w:val="16"/>
              </w:rPr>
              <w:t xml:space="preserve">PowerShell</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cd "C:\Users\nagar\Downloads\Meat Inteligence Dashboard"</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.\run_usda_updater.bat</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Get-Content update.log -Tail 15          # review output</w:t>
            </w:r>
          </w:p>
        </w:tc>
      </w:tr>
    </w:tbl>
    <w:p>
      <w:pPr>
        <w:spacing w:before="240"/>
      </w:pPr>
      <w:r>
        <w:t xml:space="preserve"> </w:t>
      </w:r>
    </w:p>
    <w:p>
      <w:pPr>
        <w:pStyle w:val="Heading2"/>
        <w:spacing w:after="120" w:before="280"/>
      </w:pPr>
      <w:r>
        <w:rPr>
          <w:rFonts w:ascii="Arial" w:cs="Arial" w:eastAsia="Arial" w:hAnsi="Arial"/>
          <w:b/>
          <w:bCs/>
          <w:color w:val="E31837"/>
          <w:sz w:val="26"/>
          <w:szCs w:val="26"/>
        </w:rPr>
        <w:t xml:space="preserve">7.3  One-time backfill</w:t>
      </w:r>
    </w:p>
    <w:tbl>
      <w:tblPr>
        <w:tblW w:type="dxa" w:w="9360"/>
        <w:tblBorders>
          <w:top w:val="single" w:color="8B4513" w:sz="4"/>
          <w:left w:val="single" w:color="8B4513" w:sz="4"/>
          <w:bottom w:val="single" w:color="8B4513" w:sz="4"/>
          <w:right w:val="single" w:color="8B4513" w:sz="4"/>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60"/>
              <w:left w:type="dxa" w:w="200"/>
              <w:bottom w:type="dxa" w:w="60"/>
              <w:right w:type="dxa" w:w="200"/>
            </w:tcMar>
          </w:tcPr>
          <w:p>
            <w:r>
              <w:rPr>
                <w:rFonts w:ascii="Consolas" w:cs="Consolas" w:eastAsia="Consolas" w:hAnsi="Consolas"/>
                <w:b/>
                <w:bCs/>
                <w:color w:val="FFFFFF"/>
                <w:sz w:val="16"/>
                <w:szCs w:val="16"/>
              </w:rPr>
              <w:t xml:space="preserve">PowerShell</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when USDA MPR API is online (typically business days)</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python backfill_history.py --years 5     # all four reports</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python backfill_history.py --only XB405  # just one report</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python backfill_history.py --verbose     # debug progress</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 </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python forecast_cuts.py                  # retrain GBMs on new history</w:t>
            </w:r>
          </w:p>
        </w:tc>
      </w:tr>
    </w:tbl>
    <w:p>
      <w:pPr>
        <w:spacing w:before="240"/>
      </w:pPr>
      <w:r>
        <w:t xml:space="preserve"> </w:t>
      </w:r>
    </w:p>
    <w:p>
      <w:pPr>
        <w:pStyle w:val="Heading2"/>
        <w:spacing w:after="120" w:before="280"/>
      </w:pPr>
      <w:r>
        <w:rPr>
          <w:rFonts w:ascii="Arial" w:cs="Arial" w:eastAsia="Arial" w:hAnsi="Arial"/>
          <w:b/>
          <w:bCs/>
          <w:color w:val="E31837"/>
          <w:sz w:val="26"/>
          <w:szCs w:val="26"/>
        </w:rPr>
        <w:t xml:space="preserve">7.4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3760"/>
      </w:tblGrid>
      <w:tr>
        <w:trPr>
          <w:tblHeader/>
        </w:trPr>
        <w:tc>
          <w:tcPr>
            <w:tcW w:type="dxa" w:w="2500"/>
            <w:tcBorders>
              <w:top w:val="single" w:color="1A1A1A" w:sz="2"/>
              <w:left w:val="single" w:color="1A1A1A" w:sz="2"/>
              <w:bottom w:val="single" w:color="1A1A1A" w:sz="2"/>
              <w:right w:val="single" w:color="1A1A1A" w:sz="2"/>
            </w:tcBorders>
            <w:shd w:fill="1A1A1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Symptom</w:t>
            </w:r>
          </w:p>
        </w:tc>
        <w:tc>
          <w:tcPr>
            <w:tcW w:type="dxa" w:w="3100"/>
            <w:tcBorders>
              <w:top w:val="single" w:color="1A1A1A" w:sz="2"/>
              <w:left w:val="single" w:color="1A1A1A" w:sz="2"/>
              <w:bottom w:val="single" w:color="1A1A1A" w:sz="2"/>
              <w:right w:val="single" w:color="1A1A1A" w:sz="2"/>
            </w:tcBorders>
            <w:shd w:fill="1A1A1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Likely Cause</w:t>
            </w:r>
          </w:p>
        </w:tc>
        <w:tc>
          <w:tcPr>
            <w:tcW w:type="dxa" w:w="3760"/>
            <w:tcBorders>
              <w:top w:val="single" w:color="1A1A1A" w:sz="2"/>
              <w:left w:val="single" w:color="1A1A1A" w:sz="2"/>
              <w:bottom w:val="single" w:color="1A1A1A" w:sz="2"/>
              <w:right w:val="single" w:color="1A1A1A" w:sz="2"/>
            </w:tcBorders>
            <w:shd w:fill="1A1A1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Fix</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cryptography / Rust compile error</w:t>
            </w:r>
          </w:p>
        </w:tc>
        <w:tc>
          <w:tcPr>
            <w:tcW w:type="dxa" w:w="3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pip tried to build cryptography</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Use pypdf, not pdfplumber</w:t>
            </w:r>
          </w:p>
        </w:tc>
      </w:tr>
      <w:tr>
        <w:tc>
          <w:tcPr>
            <w:tcW w:type="dxa" w:w="25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1A1A1A"/>
                <w:sz w:val="20"/>
                <w:szCs w:val="20"/>
              </w:rPr>
              <w:t xml:space="preserve">UnicodeEncodeError cp1252</w:t>
            </w:r>
          </w:p>
        </w:tc>
        <w:tc>
          <w:tcPr>
            <w:tcW w:type="dxa" w:w="31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1A1A1A"/>
                <w:sz w:val="20"/>
                <w:szCs w:val="20"/>
              </w:rPr>
              <w:t xml:space="preserve">Windows default cp1252 vs Unicode chars</w:t>
            </w:r>
          </w:p>
        </w:tc>
        <w:tc>
          <w:tcPr>
            <w:tcW w:type="dxa" w:w="376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1A1A1A"/>
                <w:sz w:val="20"/>
                <w:szCs w:val="20"/>
              </w:rPr>
              <w:t xml:space="preserve">Set PYTHONIOENCODING=utf-8 in .bat</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HTTP 500 on all MPR endpoints</w:t>
            </w:r>
          </w:p>
        </w:tc>
        <w:tc>
          <w:tcPr>
            <w:tcW w:type="dxa" w:w="3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USDA API maintenance (often weekends)</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Retry business day</w:t>
            </w:r>
          </w:p>
        </w:tc>
      </w:tr>
      <w:tr>
        <w:tc>
          <w:tcPr>
            <w:tcW w:type="dxa" w:w="25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1A1A1A"/>
                <w:sz w:val="20"/>
                <w:szCs w:val="20"/>
              </w:rPr>
              <w:t xml:space="preserve">USDA_MPR_API_KEY missing</w:t>
            </w:r>
          </w:p>
        </w:tc>
        <w:tc>
          <w:tcPr>
            <w:tcW w:type="dxa" w:w="31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1A1A1A"/>
                <w:sz w:val="20"/>
                <w:szCs w:val="20"/>
              </w:rPr>
              <w:t xml:space="preserve">.env not found or malformed</w:t>
            </w:r>
          </w:p>
        </w:tc>
        <w:tc>
          <w:tcPr>
            <w:tcW w:type="dxa" w:w="376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1A1A1A"/>
                <w:sz w:val="20"/>
                <w:szCs w:val="20"/>
              </w:rPr>
              <w:t xml:space="preserve">Recreate .env with KEY=value</w:t>
            </w:r>
          </w:p>
        </w:tc>
      </w:tr>
      <w:tr>
        <w:tc>
          <w:tcPr>
            <w:tcW w:type="dxa" w:w="25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Dashboard shows old values</w:t>
            </w:r>
          </w:p>
        </w:tc>
        <w:tc>
          <w:tcPr>
            <w:tcW w:type="dxa" w:w="31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Browser cache</w:t>
            </w:r>
          </w:p>
        </w:tc>
        <w:tc>
          <w:tcPr>
            <w:tcW w:type="dxa" w:w="37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Hard-refresh Ctrl+Shift+R</w:t>
            </w:r>
          </w:p>
        </w:tc>
      </w:tr>
      <w:tr>
        <w:tc>
          <w:tcPr>
            <w:tcW w:type="dxa" w:w="25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1A1A1A"/>
                <w:sz w:val="20"/>
                <w:szCs w:val="20"/>
              </w:rPr>
              <w:t xml:space="preserve">LIVE pill missing</w:t>
            </w:r>
          </w:p>
        </w:tc>
        <w:tc>
          <w:tcPr>
            <w:tcW w:type="dxa" w:w="31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1A1A1A"/>
                <w:sz w:val="20"/>
                <w:szCs w:val="20"/>
              </w:rPr>
              <w:t xml:space="preserve">CSS rule hides fixed bottom div</w:t>
            </w:r>
          </w:p>
        </w:tc>
        <w:tc>
          <w:tcPr>
            <w:tcW w:type="dxa" w:w="376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1A1A1A"/>
                <w:sz w:val="20"/>
                <w:szCs w:val="20"/>
              </w:rPr>
              <w:t xml:space="preserve">Ensure :not([data-usda-live-indicator]) exclusion</w:t>
            </w:r>
          </w:p>
        </w:tc>
      </w:tr>
    </w:tbl>
    <w:p>
      <w:r>
        <w:br w:type="page"/>
      </w:r>
    </w:p>
    <w:p>
      <w:pPr>
        <w:pStyle w:val="Heading1"/>
        <w:pBdr>
          <w:bottom w:val="single" w:color="E31837" w:sz="18" w:space="4"/>
        </w:pBdr>
        <w:spacing w:after="180" w:before="360"/>
      </w:pPr>
      <w:r>
        <w:rPr>
          <w:rFonts w:ascii="Arial" w:cs="Arial" w:eastAsia="Arial" w:hAnsi="Arial"/>
          <w:b/>
          <w:bCs/>
          <w:color w:val="1A1A1A"/>
          <w:sz w:val="34"/>
          <w:szCs w:val="34"/>
        </w:rPr>
        <w:t xml:space="preserve">8. Known Limitations</w:t>
      </w:r>
    </w:p>
    <w:p>
      <w:pPr>
        <w:pStyle w:val="Heading2"/>
        <w:spacing w:after="120" w:before="280"/>
      </w:pPr>
      <w:r>
        <w:rPr>
          <w:rFonts w:ascii="Arial" w:cs="Arial" w:eastAsia="Arial" w:hAnsi="Arial"/>
          <w:b/>
          <w:bCs/>
          <w:color w:val="E31837"/>
          <w:sz w:val="26"/>
          <w:szCs w:val="26"/>
        </w:rPr>
        <w:t xml:space="preserve">8.1  Model limitations</w:t>
      </w:r>
    </w:p>
    <w:p>
      <w:pPr>
        <w:pStyle w:val="ListParagraph"/>
        <w:numPr>
          <w:ilvl w:val="0"/>
          <w:numId w:val="2"/>
        </w:numPr>
        <w:spacing w:after="60"/>
      </w:pPr>
      <w:r>
        <w:rPr>
          <w:rFonts w:ascii="Arial" w:cs="Arial" w:eastAsia="Arial" w:hAnsi="Arial"/>
          <w:b w:val="false"/>
          <w:bCs w:val="false"/>
          <w:color w:val="1A1A1A"/>
          <w:sz w:val="22"/>
          <w:szCs w:val="22"/>
        </w:rPr>
        <w:t xml:space="preserve">No exogenous variables yet. Drought Monitor, cattle-on-feed, corn futures, CME live cattle basis all omitted from v2. These are known to add 5-15% forecast skill on published agricultural commodity studies.</w:t>
      </w:r>
    </w:p>
    <w:p>
      <w:pPr>
        <w:pStyle w:val="ListParagraph"/>
        <w:numPr>
          <w:ilvl w:val="0"/>
          <w:numId w:val="2"/>
        </w:numPr>
        <w:spacing w:after="60"/>
      </w:pPr>
      <w:r>
        <w:rPr>
          <w:rFonts w:ascii="Arial" w:cs="Arial" w:eastAsia="Arial" w:hAnsi="Arial"/>
          <w:b w:val="false"/>
          <w:bCs w:val="false"/>
          <w:color w:val="1A1A1A"/>
          <w:sz w:val="22"/>
          <w:szCs w:val="22"/>
        </w:rPr>
        <w:t xml:space="preserve">Training history includes 2021-2022 low-price regime. Without recency weighting, long-horizon forecasts can drift toward those historical means even when current regime is different.</w:t>
      </w:r>
    </w:p>
    <w:p>
      <w:pPr>
        <w:pStyle w:val="ListParagraph"/>
        <w:numPr>
          <w:ilvl w:val="0"/>
          <w:numId w:val="2"/>
        </w:numPr>
        <w:spacing w:after="60"/>
      </w:pPr>
      <w:r>
        <w:rPr>
          <w:rFonts w:ascii="Arial" w:cs="Arial" w:eastAsia="Arial" w:hAnsi="Arial"/>
          <w:b w:val="false"/>
          <w:bCs w:val="false"/>
          <w:color w:val="1A1A1A"/>
          <w:sz w:val="22"/>
          <w:szCs w:val="22"/>
        </w:rPr>
        <w:t xml:space="preserve">No cross-cut information sharing. Each cut trains independently. A joint TFT or DeepAR model would leverage Insides/Flats/Eyes co-movement.</w:t>
      </w:r>
    </w:p>
    <w:p>
      <w:pPr>
        <w:pStyle w:val="ListParagraph"/>
        <w:numPr>
          <w:ilvl w:val="0"/>
          <w:numId w:val="2"/>
        </w:numPr>
        <w:spacing w:after="60"/>
      </w:pPr>
      <w:r>
        <w:rPr>
          <w:rFonts w:ascii="Arial" w:cs="Arial" w:eastAsia="Arial" w:hAnsi="Arial"/>
          <w:b w:val="false"/>
          <w:bCs w:val="false"/>
          <w:color w:val="1A1A1A"/>
          <w:sz w:val="22"/>
          <w:szCs w:val="22"/>
        </w:rPr>
        <w:t xml:space="preserve">P10/P90 bands are empirical quantiles of the training distribution. If the future distribution shifts (regime change), the bands will be mis-calibrated.</w:t>
      </w:r>
    </w:p>
    <w:p>
      <w:pPr>
        <w:pStyle w:val="Heading2"/>
        <w:spacing w:after="120" w:before="280"/>
      </w:pPr>
      <w:r>
        <w:rPr>
          <w:rFonts w:ascii="Arial" w:cs="Arial" w:eastAsia="Arial" w:hAnsi="Arial"/>
          <w:b/>
          <w:bCs/>
          <w:color w:val="E31837"/>
          <w:sz w:val="26"/>
          <w:szCs w:val="26"/>
        </w:rPr>
        <w:t xml:space="preserve">8.2  Data limitations</w:t>
      </w:r>
    </w:p>
    <w:p>
      <w:pPr>
        <w:pStyle w:val="ListParagraph"/>
        <w:numPr>
          <w:ilvl w:val="0"/>
          <w:numId w:val="2"/>
        </w:numPr>
        <w:spacing w:after="60"/>
      </w:pPr>
      <w:r>
        <w:rPr>
          <w:rFonts w:ascii="Arial" w:cs="Arial" w:eastAsia="Arial" w:hAnsi="Arial"/>
          <w:b w:val="false"/>
          <w:bCs w:val="false"/>
          <w:color w:val="1A1A1A"/>
          <w:sz w:val="22"/>
          <w:szCs w:val="22"/>
        </w:rPr>
        <w:t xml:space="preserve">USDA MPR API has been observed to return HTTP 500 on weekends. The daily PDF pipeline is unaffected, but historical backfill requires the API.</w:t>
      </w:r>
    </w:p>
    <w:p>
      <w:pPr>
        <w:pStyle w:val="ListParagraph"/>
        <w:numPr>
          <w:ilvl w:val="0"/>
          <w:numId w:val="2"/>
        </w:numPr>
        <w:spacing w:after="60"/>
      </w:pPr>
      <w:r>
        <w:rPr>
          <w:rFonts w:ascii="Arial" w:cs="Arial" w:eastAsia="Arial" w:hAnsi="Arial"/>
          <w:b w:val="false"/>
          <w:bCs w:val="false"/>
          <w:color w:val="1A1A1A"/>
          <w:sz w:val="22"/>
          <w:szCs w:val="22"/>
        </w:rPr>
        <w:t xml:space="preserve">Daily PDFs only cover current-day values. Yesterday’s "previous close" comes from the accumulated history.json — on day one of the pipeline, that field is empty.</w:t>
      </w:r>
    </w:p>
    <w:p>
      <w:pPr>
        <w:pStyle w:val="ListParagraph"/>
        <w:numPr>
          <w:ilvl w:val="0"/>
          <w:numId w:val="2"/>
        </w:numPr>
        <w:spacing w:after="60"/>
      </w:pPr>
      <w:r>
        <w:rPr>
          <w:rFonts w:ascii="Arial" w:cs="Arial" w:eastAsia="Arial" w:hAnsi="Arial"/>
          <w:b w:val="false"/>
          <w:bCs w:val="false"/>
          <w:color w:val="1A1A1A"/>
          <w:sz w:val="22"/>
          <w:szCs w:val="22"/>
        </w:rPr>
        <w:t xml:space="preserve">Item-description strings vary slightly across USDA report formats. Our regex matchers use substring tolerance, but USDA could change column names and silently break a parser.</w:t>
      </w:r>
    </w:p>
    <w:p>
      <w:pPr>
        <w:pStyle w:val="ListParagraph"/>
        <w:numPr>
          <w:ilvl w:val="0"/>
          <w:numId w:val="2"/>
        </w:numPr>
        <w:spacing w:after="60"/>
      </w:pPr>
      <w:r>
        <w:rPr>
          <w:rFonts w:ascii="Arial" w:cs="Arial" w:eastAsia="Arial" w:hAnsi="Arial"/>
          <w:b w:val="false"/>
          <w:bCs w:val="false"/>
          <w:color w:val="1A1A1A"/>
          <w:sz w:val="22"/>
          <w:szCs w:val="22"/>
        </w:rPr>
        <w:t xml:space="preserve">USDA publishes reports Mon-Fri only. Saturday/Sunday reloads show Friday’s values.</w:t>
      </w:r>
    </w:p>
    <w:p>
      <w:pPr>
        <w:pStyle w:val="Heading2"/>
        <w:spacing w:after="120" w:before="280"/>
      </w:pPr>
      <w:r>
        <w:rPr>
          <w:rFonts w:ascii="Arial" w:cs="Arial" w:eastAsia="Arial" w:hAnsi="Arial"/>
          <w:b/>
          <w:bCs/>
          <w:color w:val="E31837"/>
          <w:sz w:val="26"/>
          <w:szCs w:val="26"/>
        </w:rPr>
        <w:t xml:space="preserve">8.3  Dashboard limitations</w:t>
      </w:r>
    </w:p>
    <w:p>
      <w:pPr>
        <w:pStyle w:val="ListParagraph"/>
        <w:numPr>
          <w:ilvl w:val="0"/>
          <w:numId w:val="2"/>
        </w:numPr>
        <w:spacing w:after="60"/>
      </w:pPr>
      <w:r>
        <w:rPr>
          <w:rFonts w:ascii="Arial" w:cs="Arial" w:eastAsia="Arial" w:hAnsi="Arial"/>
          <w:b w:val="false"/>
          <w:bCs w:val="false"/>
          <w:color w:val="1A1A1A"/>
          <w:sz w:val="22"/>
          <w:szCs w:val="22"/>
        </w:rPr>
        <w:t xml:space="preserve">Three beef primal cards (Chuck Roll, Strip Loin, Ribeye) have no loader binding. Their values are 100% hardcoded until LM_XB403 is backfilled.</w:t>
      </w:r>
    </w:p>
    <w:p>
      <w:pPr>
        <w:pStyle w:val="ListParagraph"/>
        <w:numPr>
          <w:ilvl w:val="0"/>
          <w:numId w:val="2"/>
        </w:numPr>
        <w:spacing w:after="60"/>
      </w:pPr>
      <w:r>
        <w:rPr>
          <w:rFonts w:ascii="Arial" w:cs="Arial" w:eastAsia="Arial" w:hAnsi="Arial"/>
          <w:b w:val="false"/>
          <w:bCs w:val="false"/>
          <w:color w:val="1A1A1A"/>
          <w:sz w:val="22"/>
          <w:szCs w:val="22"/>
        </w:rPr>
        <w:t xml:space="preserve">International sourcing (AUS/NZ 90CL landed pricing, lead times) is narrative context, not live data. MLA and USDA FAS APIs are not integrated.</w:t>
      </w:r>
    </w:p>
    <w:p>
      <w:pPr>
        <w:pStyle w:val="ListParagraph"/>
        <w:numPr>
          <w:ilvl w:val="0"/>
          <w:numId w:val="2"/>
        </w:numPr>
        <w:spacing w:after="60"/>
      </w:pPr>
      <w:r>
        <w:rPr>
          <w:rFonts w:ascii="Arial" w:cs="Arial" w:eastAsia="Arial" w:hAnsi="Arial"/>
          <w:b w:val="false"/>
          <w:bCs w:val="false"/>
          <w:color w:val="1A1A1A"/>
          <w:sz w:val="22"/>
          <w:szCs w:val="22"/>
        </w:rPr>
        <w:t xml:space="preserve">Drought and weather availability indices are narrative context. USDM API integration is planned.</w:t>
      </w:r>
    </w:p>
    <w:p>
      <w:pPr>
        <w:pStyle w:val="ListParagraph"/>
        <w:numPr>
          <w:ilvl w:val="0"/>
          <w:numId w:val="2"/>
        </w:numPr>
        <w:spacing w:after="60"/>
      </w:pPr>
      <w:r>
        <w:rPr>
          <w:rFonts w:ascii="Arial" w:cs="Arial" w:eastAsia="Arial" w:hAnsi="Arial"/>
          <w:b w:val="false"/>
          <w:bCs w:val="false"/>
          <w:color w:val="1A1A1A"/>
          <w:sz w:val="22"/>
          <w:szCs w:val="22"/>
        </w:rPr>
        <w:t xml:space="preserve">Procurement playbook recommendations are static narrative content by design. They should stay narrative — that’s judgment, not data.</w:t>
      </w:r>
    </w:p>
    <w:p>
      <w:r>
        <w:br w:type="page"/>
      </w:r>
    </w:p>
    <w:p>
      <w:pPr>
        <w:pStyle w:val="Heading1"/>
        <w:pBdr>
          <w:bottom w:val="single" w:color="E31837" w:sz="18" w:space="4"/>
        </w:pBdr>
        <w:spacing w:after="180" w:before="360"/>
      </w:pPr>
      <w:r>
        <w:rPr>
          <w:rFonts w:ascii="Arial" w:cs="Arial" w:eastAsia="Arial" w:hAnsi="Arial"/>
          <w:b/>
          <w:bCs/>
          <w:color w:val="1A1A1A"/>
          <w:sz w:val="34"/>
          <w:szCs w:val="34"/>
        </w:rPr>
        <w:t xml:space="preserve">9. Roadmap</w:t>
      </w:r>
    </w:p>
    <w:p>
      <w:pPr>
        <w:pStyle w:val="Heading2"/>
        <w:spacing w:after="120" w:before="280"/>
      </w:pPr>
      <w:r>
        <w:rPr>
          <w:rFonts w:ascii="Arial" w:cs="Arial" w:eastAsia="Arial" w:hAnsi="Arial"/>
          <w:b/>
          <w:bCs/>
          <w:color w:val="E31837"/>
          <w:sz w:val="26"/>
          <w:szCs w:val="26"/>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rPr>
          <w:tblHeader/>
        </w:trPr>
        <w:tc>
          <w:tcPr>
            <w:tcW w:type="dxa" w:w="1200"/>
            <w:tcBorders>
              <w:top w:val="single" w:color="1A1A1A" w:sz="2"/>
              <w:left w:val="single" w:color="1A1A1A" w:sz="2"/>
              <w:bottom w:val="single" w:color="1A1A1A" w:sz="2"/>
              <w:right w:val="single" w:color="1A1A1A" w:sz="2"/>
            </w:tcBorders>
            <w:shd w:fill="1A1A1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Version</w:t>
            </w:r>
          </w:p>
        </w:tc>
        <w:tc>
          <w:tcPr>
            <w:tcW w:type="dxa" w:w="2000"/>
            <w:tcBorders>
              <w:top w:val="single" w:color="1A1A1A" w:sz="2"/>
              <w:left w:val="single" w:color="1A1A1A" w:sz="2"/>
              <w:bottom w:val="single" w:color="1A1A1A" w:sz="2"/>
              <w:right w:val="single" w:color="1A1A1A" w:sz="2"/>
            </w:tcBorders>
            <w:shd w:fill="1A1A1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Status</w:t>
            </w:r>
          </w:p>
        </w:tc>
        <w:tc>
          <w:tcPr>
            <w:tcW w:type="dxa" w:w="6160"/>
            <w:tcBorders>
              <w:top w:val="single" w:color="1A1A1A" w:sz="2"/>
              <w:left w:val="single" w:color="1A1A1A" w:sz="2"/>
              <w:bottom w:val="single" w:color="1A1A1A" w:sz="2"/>
              <w:right w:val="single" w:color="1A1A1A" w:sz="2"/>
            </w:tcBorders>
            <w:shd w:fill="1A1A1A"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Description</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v1</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Shipped</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Parametric seasonal-drift model, industry-prior fallback</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1A1A1A"/>
                <w:sz w:val="20"/>
                <w:szCs w:val="20"/>
              </w:rPr>
              <w:t xml:space="preserve">v2</w:t>
            </w:r>
          </w:p>
        </w:tc>
        <w:tc>
          <w:tcPr>
            <w:tcW w:type="dxa" w:w="20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1A1A1A"/>
                <w:sz w:val="20"/>
                <w:szCs w:val="20"/>
              </w:rPr>
              <w:t xml:space="preserve">Shipped</w:t>
            </w:r>
          </w:p>
        </w:tc>
        <w:tc>
          <w:tcPr>
            <w:tcW w:type="dxa" w:w="616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1A1A1A"/>
                <w:sz w:val="20"/>
                <w:szCs w:val="20"/>
              </w:rPr>
              <w:t xml:space="preserve">Quantile GBM on 5yr LM_XB401 history for 85CL/50CL/65CL; backtest gate; real prior_day/52w/chart_hist</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v2.1</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Blocked on USDA API</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Extend backfill to LM_XB405 / LM_PK602 / LM_XB403; auto-upgrade remaining cuts to GBM</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1A1A1A"/>
                <w:sz w:val="20"/>
                <w:szCs w:val="20"/>
              </w:rPr>
              <w:t xml:space="preserve">v2.2</w:t>
            </w:r>
          </w:p>
        </w:tc>
        <w:tc>
          <w:tcPr>
            <w:tcW w:type="dxa" w:w="20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1A1A1A"/>
                <w:sz w:val="20"/>
                <w:szCs w:val="20"/>
              </w:rPr>
              <w:t xml:space="preserve">Planned</w:t>
            </w:r>
          </w:p>
        </w:tc>
        <w:tc>
          <w:tcPr>
            <w:tcW w:type="dxa" w:w="616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1A1A1A"/>
                <w:sz w:val="20"/>
                <w:szCs w:val="20"/>
              </w:rPr>
              <w:t xml:space="preserve">Recency-weighted training to fix 50CL long-horizon pessimism</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v3</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Planned</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Exogenous features: drought index, CME live cattle futures, corn futures, cattle-on-feed</w:t>
            </w:r>
          </w:p>
        </w:tc>
      </w:tr>
      <w:tr>
        <w:tc>
          <w:tcPr>
            <w:tcW w:type="dxa" w:w="12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1A1A1A"/>
                <w:sz w:val="20"/>
                <w:szCs w:val="20"/>
              </w:rPr>
              <w:t xml:space="preserve">v3.1</w:t>
            </w:r>
          </w:p>
        </w:tc>
        <w:tc>
          <w:tcPr>
            <w:tcW w:type="dxa" w:w="200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1A1A1A"/>
                <w:sz w:val="20"/>
                <w:szCs w:val="20"/>
              </w:rPr>
              <w:t xml:space="preserve">Planned</w:t>
            </w:r>
          </w:p>
        </w:tc>
        <w:tc>
          <w:tcPr>
            <w:tcW w:type="dxa" w:w="6160"/>
            <w:tcBorders>
              <w:top w:val="single" w:color="DDDDDD" w:sz="1"/>
              <w:left w:val="single" w:color="DDDDDD" w:sz="1"/>
              <w:bottom w:val="single" w:color="DDDDDD" w:sz="1"/>
              <w:right w:val="single" w:color="DDDDDD" w:sz="1"/>
            </w:tcBorders>
            <w:shd w:fill="FAFAFA" w:val="clear"/>
            <w:tcMar>
              <w:top w:type="dxa" w:w="80"/>
              <w:left w:type="dxa" w:w="140"/>
              <w:bottom w:type="dxa" w:w="80"/>
              <w:right w:type="dxa" w:w="140"/>
            </w:tcMar>
          </w:tcPr>
          <w:p>
            <w:r>
              <w:rPr>
                <w:rFonts w:ascii="Arial" w:cs="Arial" w:eastAsia="Arial" w:hAnsi="Arial"/>
                <w:b w:val="false"/>
                <w:bCs w:val="false"/>
                <w:color w:val="1A1A1A"/>
                <w:sz w:val="20"/>
                <w:szCs w:val="20"/>
              </w:rPr>
              <w:t xml:space="preserve">Joint multi-cut TFT / DeepAR model</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v4</w:t>
            </w:r>
          </w:p>
        </w:tc>
        <w:tc>
          <w:tcPr>
            <w:tcW w:type="dxa" w:w="20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Planned</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r>
              <w:rPr>
                <w:rFonts w:ascii="Arial" w:cs="Arial" w:eastAsia="Arial" w:hAnsi="Arial"/>
                <w:b w:val="false"/>
                <w:bCs w:val="false"/>
                <w:color w:val="1A1A1A"/>
                <w:sz w:val="20"/>
                <w:szCs w:val="20"/>
              </w:rPr>
              <w:t xml:space="preserve">Stacking ensemble (ARIMA + GBM + TFT) with ridge meta-learner</w:t>
            </w:r>
          </w:p>
        </w:tc>
      </w:tr>
    </w:tbl>
    <w:p>
      <w:pPr>
        <w:spacing w:before="360"/>
      </w:pPr>
      <w:r>
        <w:t xml:space="preserve"> </w:t>
      </w:r>
    </w:p>
    <w:p>
      <w:pPr>
        <w:pStyle w:val="Heading2"/>
        <w:spacing w:after="120" w:before="280"/>
      </w:pPr>
      <w:r>
        <w:rPr>
          <w:rFonts w:ascii="Arial" w:cs="Arial" w:eastAsia="Arial" w:hAnsi="Arial"/>
          <w:b/>
          <w:bCs/>
          <w:color w:val="E31837"/>
          <w:sz w:val="26"/>
          <w:szCs w:val="26"/>
        </w:rPr>
        <w:t xml:space="preserve">Realistic ceiling</w:t>
      </w:r>
    </w:p>
    <w:p>
      <w:pPr>
        <w:spacing w:after="200" w:before="0"/>
        <w:jc w:val="left"/>
      </w:pPr>
      <w:r>
        <w:rPr>
          <w:rFonts w:ascii="Arial" w:cs="Arial" w:eastAsia="Arial" w:hAnsi="Arial"/>
          <w:b w:val="false"/>
          <w:bCs w:val="false"/>
          <w:i w:val="false"/>
          <w:iCs w:val="false"/>
          <w:color w:val="1A1A1A"/>
          <w:sz w:val="22"/>
          <w:szCs w:val="22"/>
        </w:rPr>
        <w:t xml:space="preserve">With everything in v2.x complete (backfill all four reports, recency weighting, dashboard cards fully wired), the dashboard reaches approximately 75-80% decision-grade content. The remaining 20-25% is either external integrations (MLA, USDM, NASS live feeds) or narrative content that should stay narrative by design.</w:t>
      </w:r>
    </w:p>
    <w:p>
      <w:pPr>
        <w:pStyle w:val="Heading2"/>
        <w:spacing w:after="120" w:before="280"/>
      </w:pPr>
      <w:r>
        <w:rPr>
          <w:rFonts w:ascii="Arial" w:cs="Arial" w:eastAsia="Arial" w:hAnsi="Arial"/>
          <w:b/>
          <w:bCs/>
          <w:color w:val="E31837"/>
          <w:sz w:val="26"/>
          <w:szCs w:val="26"/>
        </w:rPr>
        <w:t xml:space="preserve">The one command</w:t>
      </w:r>
    </w:p>
    <w:p>
      <w:pPr>
        <w:spacing w:after="140" w:before="0"/>
        <w:jc w:val="left"/>
      </w:pPr>
      <w:r>
        <w:rPr>
          <w:rFonts w:ascii="Arial" w:cs="Arial" w:eastAsia="Arial" w:hAnsi="Arial"/>
          <w:b w:val="false"/>
          <w:bCs w:val="false"/>
          <w:i w:val="false"/>
          <w:iCs w:val="false"/>
          <w:color w:val="1A1A1A"/>
          <w:sz w:val="22"/>
          <w:szCs w:val="22"/>
        </w:rPr>
        <w:t xml:space="preserve">Everything in this system can be driven by one command:</w:t>
      </w:r>
    </w:p>
    <w:tbl>
      <w:tblPr>
        <w:tblW w:type="dxa" w:w="9360"/>
        <w:tblBorders>
          <w:top w:val="single" w:color="8B4513" w:sz="4"/>
          <w:left w:val="single" w:color="8B4513" w:sz="4"/>
          <w:bottom w:val="single" w:color="8B4513" w:sz="4"/>
          <w:right w:val="single" w:color="8B4513" w:sz="4"/>
          <w:insideH w:val="none" w:color="FFFFFF" w:sz="0"/>
          <w:insideV w:val="none" w:color="FFFFFF" w:sz="0"/>
        </w:tblBorders>
      </w:tblPr>
      <w:tblGrid>
        <w:gridCol w:w="9360"/>
      </w:tblGrid>
      <w:tr>
        <w:tc>
          <w:tcPr>
            <w:tcW w:type="dxa" w:w="9360"/>
            <w:tcBorders>
              <w:top w:val="none" w:color="FFFFFF" w:sz="0"/>
              <w:left w:val="none" w:color="FFFFFF" w:sz="0"/>
              <w:bottom w:val="none" w:color="FFFFFF" w:sz="0"/>
              <w:right w:val="none" w:color="FFFFFF" w:sz="0"/>
            </w:tcBorders>
            <w:shd w:fill="1A1A1A" w:val="clear"/>
            <w:tcMar>
              <w:top w:type="dxa" w:w="60"/>
              <w:left w:type="dxa" w:w="200"/>
              <w:bottom w:type="dxa" w:w="60"/>
              <w:right w:type="dxa" w:w="200"/>
            </w:tcMar>
          </w:tcPr>
          <w:p>
            <w:r>
              <w:rPr>
                <w:rFonts w:ascii="Consolas" w:cs="Consolas" w:eastAsia="Consolas" w:hAnsi="Consolas"/>
                <w:b/>
                <w:bCs/>
                <w:color w:val="FFFFFF"/>
                <w:sz w:val="16"/>
                <w:szCs w:val="16"/>
              </w:rPr>
              <w:t xml:space="preserve">PowerShell</w:t>
            </w:r>
          </w:p>
        </w:tc>
      </w:tr>
      <w:tr>
        <w:tc>
          <w:tcPr>
            <w:tcW w:type="dxa" w:w="9360"/>
            <w:tcBorders>
              <w:top w:val="none" w:color="FFFFFF" w:sz="0"/>
              <w:left w:val="none" w:color="FFFFFF" w:sz="0"/>
              <w:bottom w:val="none" w:color="FFFFFF" w:sz="0"/>
              <w:right w:val="none" w:color="FFFFFF" w:sz="0"/>
            </w:tcBorders>
            <w:shd w:fill="F5EFE6" w:val="clear"/>
            <w:tcMar>
              <w:top w:type="dxa" w:w="20"/>
              <w:left w:type="dxa" w:w="200"/>
              <w:bottom w:type="dxa" w:w="20"/>
              <w:right w:type="dxa" w:w="100"/>
            </w:tcMar>
          </w:tcPr>
          <w:p>
            <w:pPr>
              <w:shd w:fill="F5EFE6" w:val="clear"/>
              <w:spacing w:after="0" w:before="0"/>
            </w:pPr>
            <w:r>
              <w:rPr>
                <w:rFonts w:ascii="Consolas" w:cs="Consolas" w:eastAsia="Consolas" w:hAnsi="Consolas"/>
                <w:color w:val="1A1A1A"/>
                <w:sz w:val="18"/>
                <w:szCs w:val="18"/>
              </w:rPr>
              <w:t xml:space="preserve">.\run_usda_updater.bat</w:t>
            </w:r>
          </w:p>
        </w:tc>
      </w:tr>
    </w:tbl>
    <w:p>
      <w:pPr>
        <w:spacing w:before="360"/>
      </w:pPr>
      <w:r>
        <w:t xml:space="preserve"> </w:t>
      </w:r>
    </w:p>
    <w:p>
      <w:pPr>
        <w:pBdr>
          <w:top w:val="single" w:color="E31837" w:sz="18" w:space="6"/>
          <w:bottom w:val="single" w:color="E31837" w:sz="18" w:space="6"/>
        </w:pBdr>
        <w:spacing w:after="240" w:before="240"/>
        <w:jc w:val="center"/>
      </w:pPr>
      <w:r>
        <w:rPr>
          <w:rFonts w:ascii="Arial" w:cs="Arial" w:eastAsia="Arial" w:hAnsi="Arial"/>
          <w:b/>
          <w:bCs/>
          <w:i/>
          <w:iCs/>
          <w:color w:val="8B4513"/>
          <w:sz w:val="24"/>
          <w:szCs w:val="24"/>
        </w:rPr>
        <w:t xml:space="preserve">The code is the documentation.</w:t>
      </w:r>
    </w:p>
    <w:p>
      <w:pPr>
        <w:spacing w:after="80" w:before="0"/>
        <w:jc w:val="center"/>
      </w:pPr>
      <w:r>
        <w:rPr>
          <w:rFonts w:ascii="Arial" w:cs="Arial" w:eastAsia="Arial" w:hAnsi="Arial"/>
          <w:b w:val="false"/>
          <w:bCs w:val="false"/>
          <w:i/>
          <w:iCs/>
          <w:color w:val="374151"/>
          <w:sz w:val="22"/>
          <w:szCs w:val="22"/>
        </w:rPr>
        <w:t xml:space="preserve">Every module has a header docstring explaining its role. Every function has a single clear job. Every forecast carries its backtest evidence. Every data element in forecasts.json has a "model" tag so you always know whether a number came from a trained model or a fallback estimate.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B4513" w:sz="4" w:space="4"/>
      </w:pBdr>
      <w:jc w:val="center"/>
    </w:pP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r>
      <w:rPr>
        <w:rFonts w:ascii="Arial" w:cs="Arial" w:eastAsia="Arial" w:hAnsi="Arial"/>
        <w:color w:val="6B7280"/>
        <w:sz w:val="16"/>
        <w:szCs w:val="16"/>
      </w:rPr>
      <w:t xml:space="preserve">   •   v2.0 • April 19,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31837" w:sz="8" w:space="4"/>
      </w:pBdr>
      <w:tabs>
        <w:tab w:val="right" w:pos="9026"/>
      </w:tabs>
      <w:jc w:val="left"/>
    </w:pPr>
    <w:r>
      <w:rPr>
        <w:rFonts w:ascii="Arial" w:cs="Arial" w:eastAsia="Arial" w:hAnsi="Arial"/>
        <w:b/>
        <w:bCs/>
        <w:color w:val="E31837"/>
        <w:sz w:val="18"/>
        <w:szCs w:val="18"/>
      </w:rPr>
      <w:t xml:space="preserve">JACK LINK’S</w:t>
    </w:r>
    <w:r>
      <w:rPr>
        <w:rFonts w:ascii="Arial" w:cs="Arial" w:eastAsia="Arial" w:hAnsi="Arial"/>
        <w:color w:val="374151"/>
        <w:sz w:val="16"/>
        <w:szCs w:val="16"/>
      </w:rPr>
      <w:t xml:space="preserve">   Meat Intelligence Dashboard  ·  Architecture &amp; Transparency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1A"/>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E31837"/>
      <w:sz w:val="26"/>
      <w:szCs w:val="26"/>
    </w:rPr>
  </w:style>
  <w:style w:type="paragraph" w:styleId="Heading3">
    <w:name w:val="Heading 3"/>
    <w:basedOn w:val="Normal"/>
    <w:next w:val="Normal"/>
    <w:qFormat/>
    <w:pPr>
      <w:spacing w:after="80" w:before="200"/>
      <w:outlineLvl w:val="2"/>
    </w:pPr>
    <w:rPr>
      <w:rFonts w:ascii="Arial" w:cs="Arial" w:eastAsia="Arial" w:hAnsi="Arial"/>
      <w:b/>
      <w:bCs/>
      <w:color w:val="8B451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Jack Link’s Meat Intelligence Dashboard — Architecture &amp; Transparency</dc:title>
  <dc:creator>Nagarjun Parvath</dc:creator>
  <dc:description>Architecture and transparency documentation for the Meat Intelligence Dashboard</dc:description>
  <cp:lastModifiedBy>Un-named</cp:lastModifiedBy>
  <cp:revision>1</cp:revision>
  <dcterms:created xsi:type="dcterms:W3CDTF">2026-04-19T23:19:03.575Z</dcterms:created>
  <dcterms:modified xsi:type="dcterms:W3CDTF">2026-04-19T23:19:03.576Z</dcterms:modified>
</cp:coreProperties>
</file>

<file path=docProps/custom.xml><?xml version="1.0" encoding="utf-8"?>
<Properties xmlns="http://schemas.openxmlformats.org/officeDocument/2006/custom-properties" xmlns:vt="http://schemas.openxmlformats.org/officeDocument/2006/docPropsVTypes"/>
</file>