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B1E6" w14:textId="092C6B46" w:rsidR="003C3555" w:rsidRPr="00007452" w:rsidRDefault="003C3555" w:rsidP="00007452">
      <w:pPr>
        <w:jc w:val="center"/>
        <w:rPr>
          <w:b/>
          <w:bCs/>
          <w:sz w:val="36"/>
          <w:szCs w:val="36"/>
          <w:u w:val="single"/>
        </w:rPr>
      </w:pPr>
      <w:r w:rsidRPr="003C3555">
        <w:rPr>
          <w:b/>
          <w:bCs/>
          <w:sz w:val="36"/>
          <w:szCs w:val="36"/>
          <w:u w:val="single"/>
        </w:rPr>
        <w:t xml:space="preserve">Credit and Debit Card Recognition in </w:t>
      </w:r>
      <w:proofErr w:type="spellStart"/>
      <w:r w:rsidRPr="003C3555">
        <w:rPr>
          <w:b/>
          <w:bCs/>
          <w:sz w:val="36"/>
          <w:szCs w:val="36"/>
          <w:u w:val="single"/>
        </w:rPr>
        <w:t>Mendix</w:t>
      </w:r>
      <w:proofErr w:type="spellEnd"/>
      <w:r w:rsidR="00007452">
        <w:rPr>
          <w:b/>
          <w:bCs/>
          <w:sz w:val="36"/>
          <w:szCs w:val="36"/>
          <w:u w:val="single"/>
        </w:rPr>
        <w:t>-</w:t>
      </w:r>
    </w:p>
    <w:p w14:paraId="34C3229A" w14:textId="77777777" w:rsidR="00007452" w:rsidRDefault="00007452" w:rsidP="00007452">
      <w:pPr>
        <w:pStyle w:val="ListParagraph"/>
      </w:pPr>
    </w:p>
    <w:p w14:paraId="3D1338BA" w14:textId="77777777" w:rsidR="00007452" w:rsidRPr="00007452" w:rsidRDefault="00007452" w:rsidP="00007452">
      <w:pPr>
        <w:pStyle w:val="ListParagraph"/>
        <w:numPr>
          <w:ilvl w:val="0"/>
          <w:numId w:val="5"/>
        </w:numPr>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52">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5740130" w14:textId="77777777" w:rsidR="00007452" w:rsidRDefault="00007452" w:rsidP="00007452">
      <w:pPr>
        <w:pStyle w:val="ListParagraph"/>
        <w:numPr>
          <w:ilvl w:val="0"/>
          <w:numId w:val="5"/>
        </w:numPr>
      </w:pPr>
      <w:r>
        <w:t xml:space="preserve">The purpose of this feasibility document is to outline the reasons for not developing credit and debit card recognition functionality within a </w:t>
      </w:r>
      <w:proofErr w:type="spellStart"/>
      <w:r>
        <w:t>Mendix</w:t>
      </w:r>
      <w:proofErr w:type="spellEnd"/>
      <w:r>
        <w:t xml:space="preserve"> application. This decision is based on valid considerations that prioritize resources, compliance, and security concerns.</w:t>
      </w:r>
    </w:p>
    <w:p w14:paraId="6E5E66DA" w14:textId="77777777" w:rsidR="00007452" w:rsidRDefault="00007452" w:rsidP="00007452">
      <w:pPr>
        <w:pStyle w:val="ListParagraph"/>
      </w:pPr>
    </w:p>
    <w:p w14:paraId="369C9FEC" w14:textId="49C4DBC9" w:rsidR="00007452" w:rsidRPr="00007452" w:rsidRDefault="00007452" w:rsidP="00007452">
      <w:pPr>
        <w:pStyle w:val="ListParagraph"/>
        <w:numPr>
          <w:ilvl w:val="0"/>
          <w:numId w:val="5"/>
        </w:numPr>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52">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Constraints:</w:t>
      </w:r>
    </w:p>
    <w:p w14:paraId="31AFFBC6" w14:textId="6D82F2F3" w:rsidR="00007452" w:rsidRDefault="00007452" w:rsidP="00007452">
      <w:pPr>
        <w:pStyle w:val="ListParagraph"/>
        <w:numPr>
          <w:ilvl w:val="1"/>
          <w:numId w:val="5"/>
        </w:numPr>
      </w:pPr>
      <w:r>
        <w:t xml:space="preserve">Limited Development Capability: Developing card recognition functionality within </w:t>
      </w:r>
      <w:proofErr w:type="spellStart"/>
      <w:r>
        <w:t>Mendix</w:t>
      </w:r>
      <w:proofErr w:type="spellEnd"/>
      <w:r>
        <w:t xml:space="preserve"> may require specialized expertise and resources that are currently unavailable or scarce within the development team.</w:t>
      </w:r>
    </w:p>
    <w:p w14:paraId="475AA901" w14:textId="1686A88F" w:rsidR="00007452" w:rsidRDefault="00007452" w:rsidP="00007452">
      <w:pPr>
        <w:pStyle w:val="ListParagraph"/>
        <w:numPr>
          <w:ilvl w:val="1"/>
          <w:numId w:val="5"/>
        </w:numPr>
      </w:pPr>
      <w:r>
        <w:t>Time and Cost: Building a robust card recognition system from scratch or integrating with third-party APIs can be time-consuming and costly. It may require significant investment in research, development, and ongoing maintenance.</w:t>
      </w:r>
    </w:p>
    <w:p w14:paraId="7C126F8A" w14:textId="77777777" w:rsidR="00007452" w:rsidRDefault="00007452" w:rsidP="00007452">
      <w:pPr>
        <w:pStyle w:val="ListParagraph"/>
      </w:pPr>
    </w:p>
    <w:p w14:paraId="6A4DFBB7" w14:textId="46FD29F3" w:rsidR="00007452" w:rsidRPr="00007452" w:rsidRDefault="00007452" w:rsidP="00007452">
      <w:pPr>
        <w:pStyle w:val="ListParagraph"/>
        <w:numPr>
          <w:ilvl w:val="0"/>
          <w:numId w:val="5"/>
        </w:numPr>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52">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Compliance Considerations:</w:t>
      </w:r>
    </w:p>
    <w:p w14:paraId="4CBE7B9D" w14:textId="793F2B5C" w:rsidR="00007452" w:rsidRDefault="00007452" w:rsidP="00007452">
      <w:pPr>
        <w:pStyle w:val="ListParagraph"/>
        <w:numPr>
          <w:ilvl w:val="1"/>
          <w:numId w:val="5"/>
        </w:numPr>
      </w:pPr>
      <w:r>
        <w:t>PCI DSS Compliance: Implementing credit and debit card recognition involves handling sensitive card data, which may fall under the scope of the Payment Card Industry Data Security Standard (PCI DSS). Achieving and maintaining PCI DSS compliance can be complex, time-consuming, and costly, requiring regular audits and security assessments.</w:t>
      </w:r>
    </w:p>
    <w:p w14:paraId="42991199" w14:textId="076F71B2" w:rsidR="00007452" w:rsidRDefault="00007452" w:rsidP="00007452">
      <w:pPr>
        <w:pStyle w:val="ListParagraph"/>
        <w:numPr>
          <w:ilvl w:val="1"/>
          <w:numId w:val="5"/>
        </w:numPr>
      </w:pPr>
      <w:r>
        <w:t>Data Privacy Regulations: Processing and storing cardholder data can subject the application to various data privacy regulations, such as the General Data Protection Regulation (GDPR). Compliance with these regulations may add additional legal and technical complexities.</w:t>
      </w:r>
    </w:p>
    <w:p w14:paraId="0544F314" w14:textId="77777777" w:rsidR="00007452" w:rsidRPr="00007452" w:rsidRDefault="00007452" w:rsidP="00007452">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DE73C" w14:textId="59696426" w:rsidR="00007452" w:rsidRPr="00007452" w:rsidRDefault="00007452" w:rsidP="00007452">
      <w:pPr>
        <w:pStyle w:val="ListParagraph"/>
        <w:numPr>
          <w:ilvl w:val="0"/>
          <w:numId w:val="5"/>
        </w:numPr>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52">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Concerns:</w:t>
      </w:r>
    </w:p>
    <w:p w14:paraId="190CBFA4" w14:textId="3B33DF45" w:rsidR="00007452" w:rsidRDefault="00007452" w:rsidP="00007452">
      <w:pPr>
        <w:pStyle w:val="ListParagraph"/>
        <w:numPr>
          <w:ilvl w:val="1"/>
          <w:numId w:val="5"/>
        </w:numPr>
      </w:pPr>
      <w:r>
        <w:t>Data Breach Risks: Introducing card recognition functionality increases the risk of unauthorized access, data breaches, or misuse of cardholder information. It requires stringent security measures, such as encryption, secure storage, and access controls, which may require significant effort to implement and maintain.</w:t>
      </w:r>
    </w:p>
    <w:p w14:paraId="1920BE10" w14:textId="50092F42" w:rsidR="00007452" w:rsidRDefault="00007452" w:rsidP="00007452">
      <w:pPr>
        <w:pStyle w:val="ListParagraph"/>
        <w:numPr>
          <w:ilvl w:val="1"/>
          <w:numId w:val="5"/>
        </w:numPr>
      </w:pPr>
      <w:r>
        <w:t>Liability and Legal Considerations: Handling and storing cardholder data also brings legal responsibilities and potential liabilities in case of security incidents or non-compliance with industry standards and regulations.</w:t>
      </w:r>
    </w:p>
    <w:p w14:paraId="18282A3B" w14:textId="77777777" w:rsidR="00007452" w:rsidRDefault="00007452" w:rsidP="00007452">
      <w:pPr>
        <w:pStyle w:val="ListParagraph"/>
      </w:pPr>
    </w:p>
    <w:p w14:paraId="57E8D8AC" w14:textId="0B66E4FA" w:rsidR="00007452" w:rsidRPr="00007452" w:rsidRDefault="00007452" w:rsidP="00007452">
      <w:pPr>
        <w:pStyle w:val="ListParagraph"/>
        <w:numPr>
          <w:ilvl w:val="0"/>
          <w:numId w:val="5"/>
        </w:numPr>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52">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 Solutions:</w:t>
      </w:r>
    </w:p>
    <w:p w14:paraId="1ACD2404" w14:textId="77777777" w:rsidR="00007452" w:rsidRDefault="00007452" w:rsidP="00007452">
      <w:pPr>
        <w:pStyle w:val="ListParagraph"/>
        <w:numPr>
          <w:ilvl w:val="0"/>
          <w:numId w:val="5"/>
        </w:numPr>
      </w:pPr>
      <w:r>
        <w:t xml:space="preserve">Considering the limitations and risks associated with card recognition in </w:t>
      </w:r>
      <w:proofErr w:type="spellStart"/>
      <w:r>
        <w:t>Mendix</w:t>
      </w:r>
      <w:proofErr w:type="spellEnd"/>
      <w:r>
        <w:t>, alternative solutions can be explored to meet business needs:</w:t>
      </w:r>
    </w:p>
    <w:p w14:paraId="4AEB65A6" w14:textId="056AF0D0" w:rsidR="00007452" w:rsidRDefault="00007452" w:rsidP="00007452">
      <w:pPr>
        <w:pStyle w:val="ListParagraph"/>
        <w:numPr>
          <w:ilvl w:val="1"/>
          <w:numId w:val="5"/>
        </w:numPr>
      </w:pPr>
      <w:r>
        <w:t>Manual Entry: Users can manually enter card details into the application, eliminating the need for card recognition. This approach reduces complexity and allows users to retain control over their sensitive information.</w:t>
      </w:r>
    </w:p>
    <w:p w14:paraId="43A773FC" w14:textId="72A5128F" w:rsidR="00007452" w:rsidRDefault="00007452" w:rsidP="00007452">
      <w:pPr>
        <w:pStyle w:val="ListParagraph"/>
        <w:numPr>
          <w:ilvl w:val="1"/>
          <w:numId w:val="5"/>
        </w:numPr>
      </w:pPr>
      <w:r>
        <w:t xml:space="preserve">External Payment Gateway: Integrating with a trusted third-party payment gateway can offload the card recognition and payment processing responsibilities. It ensures </w:t>
      </w:r>
      <w:r>
        <w:lastRenderedPageBreak/>
        <w:t>compliance with industry standards, security, and PCI DSS requirements, while also providing a seamless user experience.</w:t>
      </w:r>
    </w:p>
    <w:p w14:paraId="0A196CDB" w14:textId="77777777" w:rsidR="00007452" w:rsidRDefault="00007452" w:rsidP="00007452">
      <w:pPr>
        <w:pStyle w:val="ListParagraph"/>
      </w:pPr>
    </w:p>
    <w:p w14:paraId="0C71CD07" w14:textId="77777777" w:rsidR="00007452" w:rsidRPr="00007452" w:rsidRDefault="00007452" w:rsidP="00007452">
      <w:pPr>
        <w:pStyle w:val="ListParagraph"/>
        <w:numPr>
          <w:ilvl w:val="0"/>
          <w:numId w:val="5"/>
        </w:numPr>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52">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066F6D9" w14:textId="04D33341" w:rsidR="00C61938" w:rsidRDefault="00007452" w:rsidP="00007452">
      <w:pPr>
        <w:pStyle w:val="ListParagraph"/>
        <w:numPr>
          <w:ilvl w:val="0"/>
          <w:numId w:val="5"/>
        </w:numPr>
      </w:pPr>
      <w:r>
        <w:t xml:space="preserve">Based on the resource constraints, compliance considerations, and security concerns outlined above, it is determined that not developing credit and debit card recognition functionality within </w:t>
      </w:r>
      <w:proofErr w:type="spellStart"/>
      <w:r>
        <w:t>Mendix</w:t>
      </w:r>
      <w:proofErr w:type="spellEnd"/>
      <w:r>
        <w:t xml:space="preserve"> is a valid decision. Instead, alternative solutions such as manual entry or integration with an external payment gateway should be considered to meet the application's requirements while minimizing risks and ensuring compliance.</w:t>
      </w:r>
    </w:p>
    <w:sectPr w:rsidR="00C61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25C"/>
    <w:multiLevelType w:val="multilevel"/>
    <w:tmpl w:val="F7F28BB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F421C66"/>
    <w:multiLevelType w:val="hybridMultilevel"/>
    <w:tmpl w:val="74FECE0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987734"/>
    <w:multiLevelType w:val="hybridMultilevel"/>
    <w:tmpl w:val="9A345D68"/>
    <w:lvl w:ilvl="0" w:tplc="4009000B">
      <w:start w:val="1"/>
      <w:numFmt w:val="bullet"/>
      <w:lvlText w:val=""/>
      <w:lvlJc w:val="left"/>
      <w:pPr>
        <w:ind w:left="720" w:hanging="360"/>
      </w:pPr>
      <w:rPr>
        <w:rFonts w:ascii="Wingdings" w:hAnsi="Wingdings" w:hint="default"/>
      </w:rPr>
    </w:lvl>
    <w:lvl w:ilvl="1" w:tplc="D84C6CEE">
      <w:start w:val="3"/>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BC55B2"/>
    <w:multiLevelType w:val="hybridMultilevel"/>
    <w:tmpl w:val="79C84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736234"/>
    <w:multiLevelType w:val="hybridMultilevel"/>
    <w:tmpl w:val="4C1ACE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2556375">
    <w:abstractNumId w:val="2"/>
  </w:num>
  <w:num w:numId="2" w16cid:durableId="1796828185">
    <w:abstractNumId w:val="3"/>
  </w:num>
  <w:num w:numId="3" w16cid:durableId="907346363">
    <w:abstractNumId w:val="1"/>
  </w:num>
  <w:num w:numId="4" w16cid:durableId="568804003">
    <w:abstractNumId w:val="0"/>
  </w:num>
  <w:num w:numId="5" w16cid:durableId="863788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55"/>
    <w:rsid w:val="00007452"/>
    <w:rsid w:val="003C3555"/>
    <w:rsid w:val="00442A5D"/>
    <w:rsid w:val="006A15ED"/>
    <w:rsid w:val="00C125E1"/>
    <w:rsid w:val="00C61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F3C9"/>
  <w15:chartTrackingRefBased/>
  <w15:docId w15:val="{BD8ED414-3B1E-44BC-A9DA-C373C1DB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E80832-E974-46B7-A5F7-8564C78F2C54}"/>
</file>

<file path=customXml/itemProps2.xml><?xml version="1.0" encoding="utf-8"?>
<ds:datastoreItem xmlns:ds="http://schemas.openxmlformats.org/officeDocument/2006/customXml" ds:itemID="{254838FC-7735-441E-A81F-4831D05E3475}"/>
</file>

<file path=customXml/itemProps3.xml><?xml version="1.0" encoding="utf-8"?>
<ds:datastoreItem xmlns:ds="http://schemas.openxmlformats.org/officeDocument/2006/customXml" ds:itemID="{49DB1A23-63FD-48AD-9AC6-D2D693A4080E}"/>
</file>

<file path=docProps/app.xml><?xml version="1.0" encoding="utf-8"?>
<Properties xmlns="http://schemas.openxmlformats.org/officeDocument/2006/extended-properties" xmlns:vt="http://schemas.openxmlformats.org/officeDocument/2006/docPropsVTypes">
  <Template>Normal</Template>
  <TotalTime>46</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Maity</dc:creator>
  <cp:keywords/>
  <dc:description/>
  <cp:lastModifiedBy>Asha Maity</cp:lastModifiedBy>
  <cp:revision>1</cp:revision>
  <dcterms:created xsi:type="dcterms:W3CDTF">2023-07-11T09:45:00Z</dcterms:created>
  <dcterms:modified xsi:type="dcterms:W3CDTF">2023-07-11T10:31:00Z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