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Arial" w:cs="Arial" w:eastAsia="Arial" w:hAnsi="Arial"/>
        </w:rPr>
        <w:t xml:space="preserve">Literature notes: the reading pass</w:t>
      </w:r>
    </w:p>
    <w:p>
      <w:pPr>
        <w:spacing w:after="120"/>
      </w:pPr>
      <w:r>
        <w:rPr>
          <w:rFonts w:ascii="Arial" w:cs="Arial" w:eastAsia="Arial" w:hAnsi="Arial"/>
          <w:sz w:val="21"/>
          <w:szCs w:val="21"/>
        </w:rPr>
        <w:t xml:space="preserve">Companion to the source table (Source_Table.docx). The source table says which references exist, how each was checked and what it may support. These notes say what the closest works actually do, based on reading their methods, and give the sentence the paper will use for each. Paper: Detection of Payload-Free Pretexting Emails Through Claim-Routed Verification Against Email Headers and Thread History (IEEE conference, 6 pages, A4). Updated 12 October 2026.</w:t>
      </w:r>
    </w:p>
    <w:p>
      <w:pPr>
        <w:spacing w:after="120"/>
      </w:pPr>
      <w:r>
        <w:rPr>
          <w:rFonts w:ascii="Arial" w:cs="Arial" w:eastAsia="Arial" w:hAnsi="Arial"/>
          <w:sz w:val="21"/>
          <w:szCs w:val="21"/>
        </w:rPr>
        <w:t xml:space="preserve">Reading depth is stated for every entry. “Full paper” means the method and the results were read. Where only the abstract was read, the paper claims nothing beyond the abstract. Every number quoted from a work was read in that work on 12 October 2026. Bracketed IDs are the source table’s; they become IEEE numbers in order of first citation when the paper is written.</w:t>
      </w:r>
    </w:p>
    <w:p>
      <w:pPr>
        <w:spacing w:after="120"/>
      </w:pPr>
      <w:r>
        <w:rPr>
          <w:rFonts w:ascii="Arial" w:cs="Arial" w:eastAsia="Arial" w:hAnsi="Arial"/>
          <w:sz w:val="21"/>
          <w:szCs w:val="21"/>
        </w:rPr>
        <w:t xml:space="preserve">The sentences use the paper’s name for the system, the claim-routed verification pipeline (the pipeline), and follow the paper’s style rules. They are drafts: the paper may shorten them, but not widen what they claim.</w:t>
      </w:r>
    </w:p>
    <w:p>
      <w:pPr>
        <w:pStyle w:val="Heading1"/>
        <w:spacing w:after="140" w:before="300"/>
      </w:pPr>
      <w:r>
        <w:rPr>
          <w:rFonts w:ascii="Arial" w:cs="Arial" w:eastAsia="Arial" w:hAnsi="Arial"/>
        </w:rPr>
        <w:t xml:space="preserve">1. Close neighbours, read in depth</w:t>
      </w:r>
    </w:p>
    <w:p>
      <w:pPr>
        <w:pStyle w:val="Heading2"/>
        <w:keepNext/>
        <w:spacing w:after="100" w:before="240"/>
      </w:pPr>
      <w:r>
        <w:rPr>
          <w:rFonts w:ascii="Arial" w:cs="Arial" w:eastAsia="Arial" w:hAnsi="Arial"/>
        </w:rPr>
        <w:t xml:space="preserve">Warning signs as labels (Paul et al., arXiv 2024) [A6]</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(arXiv v1, the only version).</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 data set of 940 emails annotated with 32 labels for the warning signs that security training asks users to notice, among them the organisation a sender claims and the address in the signature, and baseline BERT and RoBERTa classifiers trained for each label. They treat detection as a natural language processing task and compare the models with the human annotators label by label.</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Per-label scores are in their Table 2, beside the agreement between annotators; the paper takes no number from it. In their analysis, “when mismatches appear, they are often a stronger signal of phishing than the content itself”. Their approach “assumes the existence of a downstream verification algorithm (e.g. process the email metadata to determine if there is a mismatch)”.</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They find and label the claim; the comparison with the metadata is left to a later algorithm that they do not build. The pipeline is one such algorithm: it types each claim, routes it to the header rules or the thread rules that can test it, and records a verdict with its reason. They do train classifiers, so the paper must not say that they propose no detector.</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Paul et al. annotate 940 emails with the warning signs that users are trained to notice, among them the organisation a sender claims, and train a classifier for each sign; they observe that a mismatch between such a claim and the metadata is often a stronger signal than the content, and assume a downstream verification algorithm for that comparison [A6]. The pipeline described here is such an algorithm.</w:t>
      </w:r>
    </w:p>
    <w:p>
      <w:pPr>
        <w:pStyle w:val="Heading2"/>
        <w:keepNext/>
        <w:spacing w:after="100" w:before="240"/>
      </w:pPr>
      <w:r>
        <w:rPr>
          <w:rFonts w:ascii="Arial" w:cs="Arial" w:eastAsia="Arial" w:hAnsi="Arial"/>
        </w:rPr>
        <w:t xml:space="preserve">BEC-Guard (Cidon et al., USENIX Security 2019) [A7]</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 commercial detector for business email compromise. A header-based impersonation classifier, built from an organisation’s historical mail (sender names, addresses, Reply-To), runs first; only the emails it flags reach a text classifier (TF-IDF with nearest neighbours) and a link classifier, and an email is quarantined if either of them flags it. Before the text classifier reads the body, the system removes salutations, footers, signatures and stop words, “as well as any names that may appear in the email”. Mail is read through cloud APIs.</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“A precision of 98.2% and a false positive rate of less than one in five million emails” on “a commercial dataset containing more than 4,000 attacks”; the data holds 200 million emails from several hundred organisations. On account takeover: “This scenario is not the focus of BEC-Guard”.</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BEC-Guard judges identity from header history and intent from the body, but the body it reads has lost the names and signatures, which are the statements that say who is writing. No step compares a claim with the evidence about it. The pipeline keeps those statements as typed claims and checks each one against the headers or the thread, and it needs no mail history beyond the thread being checked. BEC-Guard is a gated pipeline, not parallel score fusion: the N3 comparator called parallel fusion is the mean of two scores and must not be called BEC-Guard.</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BEC-Guard first decides from an organisation’s header history whether a sender impersonates an employee and only then classifies the body and its links, after removing names and signatures from the text; it reports a precision of 98.2% on more than 4,000 attacks, and account takeover is outside its focus [A7]. Because the statements that say who is writing are removed, no step compares what the email claims with what its headers show.</w:t>
      </w:r>
    </w:p>
    <w:p>
      <w:pPr>
        <w:pStyle w:val="Heading2"/>
        <w:keepNext/>
        <w:spacing w:after="100" w:before="240"/>
      </w:pPr>
      <w:r>
        <w:rPr>
          <w:rFonts w:ascii="Arial" w:cs="Arial" w:eastAsia="Arial" w:hAnsi="Arial"/>
        </w:rPr>
        <w:t xml:space="preserve">ChatSpamDetector (Koide et al., arXiv 2024) [B17]</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(arXiv v2). No published version was found.</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 prompt that asks a language model, step by step, to “Identify any impersonation of well-known brands”, to “Examine the email header for spoofing signs, such as discrepancies in the sender name or email address”, to inspect the URLs, and to explain its verdict. Data: 1,010 phishing emails from phishing_pot and 1,000 randomly sampled legitimate emails; emails “without URLs in the body” were excluded.</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99.70% accuracy with GPT-4. A request took 12.53 s on average with GPT-4, and GPT-4 with the normal prompt cost $265.80 for the 2,010 emails. All parameters were left at their defaults; repeated runs are not reported, although the authors note that temperature and top_p “are known to significantly influence the output”.</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The closest in idea: a model reads the headers and the body together and can notice that the sender is not who the body implies. The paper therefore cannot claim to be the first to compare a claimed sender with the headers. What differs: typed claims routed to fixed rules that record their reasons, no model call at run time, and an evaluation that includes link-free and redacted text, which ChatSpamDetector excluded.</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ChatSpamDetector prompts GPT-4 to look for brand impersonation and for header spoofing signs such as a mismatch between the sender name and address, and reports 99.70% accuracy on 2,010 emails [B17]. Its data excludes every email without a URL in the body, and each email costs one model call. The pipeline instead checks typed claims with fixed rules and no model call at run time, and its evaluation includes link-free, redacted text.</w:t>
      </w:r>
    </w:p>
    <w:p>
      <w:pPr>
        <w:pStyle w:val="Heading2"/>
        <w:keepNext/>
        <w:spacing w:after="100" w:before="240"/>
      </w:pPr>
      <w:r>
        <w:rPr>
          <w:rFonts w:ascii="Arial" w:cs="Arial" w:eastAsia="Arial" w:hAnsi="Arial"/>
        </w:rPr>
        <w:t xml:space="preserve">Lateral phishing at scale (Ho et al., USENIX Security 2019) [A8]</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 large-scale characterisation of lateral phishing, in which an attacker uses a compromised enterprise account to phish other users, over 113 million employee-sent emails from 92 organisations, and a classifier for it. In their words: “We focus our detection strategy on URL-based phishing, given the prevalence of this attack vector.”</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96 of 110 test incidents detected (87.3%), with under four false positives per million employee-sent emails. The authors add that “since our detector focuses on URL-based exploits, our dataset of attacks likely underestimates the prevalence of non-URL-based phishing attacks”.</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Their detector needs a malicious URL and organisation-wide data. The pipeline targets the message without a URL and, for a taken-over account, compares a reply with the earlier messages of its own thread.</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Ho et al. characterise phishing sent from compromised accounts across 92 organisations; their detector focuses on URL-based attacks, and they note that their data therefore likely underestimates attacks without a URL [A8].</w:t>
      </w:r>
    </w:p>
    <w:p>
      <w:pPr>
        <w:pStyle w:val="Heading2"/>
        <w:keepNext/>
        <w:spacing w:after="100" w:before="240"/>
      </w:pPr>
      <w:r>
        <w:rPr>
          <w:rFonts w:ascii="Arial" w:cs="Arial" w:eastAsia="Arial" w:hAnsi="Arial"/>
        </w:rPr>
        <w:t xml:space="preserve">Content-agnostic spear-phishing detection (Gascon et al., RAID 2018) [B3]</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(author copy).</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Profiles of each sender from the behaviour, composition and transport traits of an email’s structure, without reading its text; an email that departs from its sender’s profile is flagged as spoofed. Evaluated on 760,603 emails from 92 mailboxes.</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90% of spoofed emails detected with fewer than 1 false positive in 10,000 emails, when the attacker does not know the sender’s profile. In their related-work section they write that infrastructure features “do not model the actual author but only her environment. Therefore, it is impossible to detect a hacked account with these features.”</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No claims are read at all. The case they name as out of reach for infrastructure features, a hacked account sending from its owner’s environment, is the case the thread rules address by comparing what a reply says and asks with the rest of its thread. The remark is theirs about infrastructure features (transport and mail client), not a statement about every part of their method.</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Gascon et al. profile senders from the structure and transport traits of their emails without reading the text, detecting 90% of spoofed emails at fewer than one false alarm in 10,000; they note that such infrastructure features model the sender’s environment rather than the author, so a hacked account cannot be detected with them [B3].</w:t>
      </w:r>
    </w:p>
    <w:p>
      <w:pPr>
        <w:pStyle w:val="Heading2"/>
        <w:keepNext/>
        <w:spacing w:after="100" w:before="240"/>
      </w:pPr>
      <w:r>
        <w:rPr>
          <w:rFonts w:ascii="Arial" w:cs="Arial" w:eastAsia="Arial" w:hAnsi="Arial"/>
        </w:rPr>
        <w:t xml:space="preserve">IdentityMailer (Stringhini and Thonnard, DIMVA 2015) [A28]</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(arXiv).</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 model of each user’s sending habits (writing, composition and interaction) that checks whether an email leaving an account was written by its owner, aimed at mail sent from compromised genuine accounts. It runs on the sender’s side.</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About 90% of forged emails blocked for users with a sent history of 1,000 emails; 200 messages give a true positive rate of 80%. The price is confirmations: “a user who has sent at least 1,000 emails would have to confirm her identity for 1 in 12 emails”.</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A per-sender model that needs a long sent-mail history and runs at the sending organisation. The pipeline runs where the email is received, with only the email and its thread, and checks claims rather than writing habits.</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IdentityMailer models each user’s sending habits to stop mail from compromised accounts, blocking about 90% of forged emails once a user has sent 1,000 messages, at the price of asking the user to confirm one email in twelve [A28].</w:t>
      </w:r>
    </w:p>
    <w:p>
      <w:pPr>
        <w:pStyle w:val="Heading2"/>
        <w:keepNext/>
        <w:spacing w:after="100" w:before="240"/>
      </w:pPr>
      <w:r>
        <w:rPr>
          <w:rFonts w:ascii="Arial" w:cs="Arial" w:eastAsia="Arial" w:hAnsi="Arial"/>
        </w:rPr>
        <w:t xml:space="preserve">EmailProfiler (Duman et al., COMPSAC 2016) [A29], optional</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(author copy).</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Profiles of each sender, built at the recipient, from header features and 199 stylometric features, one feature vector per email, studied on the mail of 20 volunteers.</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Results per sender on the volunteers’ mail; the paper takes no number from it.</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Header and writing features are mixed into one vector, so the profile asks whether an email fits its sender’s history, not whether a claim in the body matches a header field.</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Sender profiling from header and stylometric features [A28], [A29] asks whether an email fits its sender’s history; it does not ask whether what the email claims matches the evidence in its headers.</w:t>
      </w:r>
    </w:p>
    <w:p>
      <w:pPr>
        <w:pStyle w:val="Heading2"/>
        <w:keepNext/>
        <w:spacing w:after="100" w:before="240"/>
      </w:pPr>
      <w:r>
        <w:rPr>
          <w:rFonts w:ascii="Arial" w:cs="Arial" w:eastAsia="Arial" w:hAnsi="Arial"/>
        </w:rPr>
        <w:t xml:space="preserve">Persuasion cues at scale (Pan et al., SSRN preprint 2025) [A3]</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preprint (SSRN PDF, 70 pages, anonymised for review; authors and year from the Crossref record of the DOI). The journal version (Expert Systems with Applications, 2026) was not read, so the paper cites the preprint and takes every number from it.</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An analysis of persuasion in phishing. Four open language models (Llama 3.1 8B, Llama 3.2 3B, Mistral Nemo with 12.2B parameters and Phi 3.5 Mini), each under three prompt styles (a short heuristic prompt, a one-shot example and a prompt with rule definitions), produced binary labels for six persuasion principles and 14 psycholinguistic scores for emails from seven public corpora. 340,912 processed samples remained after about 10% were removed for hallucination and memory errors; a sample is one email under one model and one prompt, although the abstract calls them emails. Chi-square tests, Welch’s t-tests and logistic regression with interaction terms.</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Every principle is more frequent in phishing than in legitimate samples: scarcity in 43.12% against 5.41%, authority in 47.34% against 27.10%. Sensitive-request and scarcity features are the strongest predictors. 14 of the 15 pairs of cues interact negatively. Systematic prompting raised the models’ detection accuracy from 83.09% to 88.20%. The authors’ own limits: their corpora may not represent highly targeted attacks such as business email compromise, which rely on personalisation, and their cue measures cannot yet tell a real deadline in professional mail from a fabricated threat. They recommend out-of-band verification of emails that contain authority or urgency language. No agreement measure between the models is reported.</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An analysis, not a system that checks evidence, built on broad public scam corpora. Two uses for the paper. First, cues also appear in legitimate mail (authority in 27.10% of legitimate samples), so a tactic on its own is weak evidence; the pipeline does not judge urgency from wording but checks who is asking. Second, it is the precedent for persuasion labels generated by language models; the project adds agreement between two annotators and a tie-break, and has no human validation sample.</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Across seven public corpora, Pan et al. find every persuasion principle more often in phishing than in legitimate mail (scarcity in 43.12% against 5.41% of samples), yet authority cues still appear in 27.10% of legitimate samples, and the authors note that targeted attacks such as business email compromise may not be represented in such corpora [A3].</w:t>
      </w:r>
    </w:p>
    <w:p>
      <w:pPr>
        <w:pStyle w:val="Heading2"/>
        <w:keepNext/>
        <w:spacing w:after="100" w:before="240"/>
      </w:pPr>
      <w:r>
        <w:rPr>
          <w:rFonts w:ascii="Arial" w:cs="Arial" w:eastAsia="Arial" w:hAnsi="Arial"/>
        </w:rPr>
        <w:t xml:space="preserve">Persuasion principles with transformers (Karki et al., IEEE Big Data 2022) [A1]</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(NSF public-access copy).</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BERT, RoBERTa and DistilBERT classifiers for persuasion principles in Nazario phishing emails. The labels were produced by sentence similarity (threshold 0.6) to hand-written example sentences; 3,065 emails were labelled with five principles (reciprocity, commitment, scarcity, authority and social proof). Body only.</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RoBERTa did best, with an average F1 of 0.9 (BERT 0.89, DistilBERT 0.88).</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Automatic labels, one phishing corpus, no legitimate mail in the task and no headers. In the pipeline the tactic classifier is a plain component beside the claims: on 140 labelled test emails (LLM labels from one model family) its macro-F1 of 0.479 [0.370, 0.574] is not distinguishable from the tuned keyword baseline’s 0.500 [0.408, 0.581] (difference -0.021 [-0.144, +0.091]).</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Transformer classifiers can tag persuasion principles in phishing text: Karki et al. report an average F1 of 0.9 for RoBERTa on five principles, with labels produced automatically by sentence similarity to hand-written examples [A1].</w:t>
      </w:r>
    </w:p>
    <w:p>
      <w:pPr>
        <w:pStyle w:val="Heading2"/>
        <w:keepNext/>
        <w:spacing w:after="100" w:before="240"/>
      </w:pPr>
      <w:r>
        <w:rPr>
          <w:rFonts w:ascii="Arial" w:cs="Arial" w:eastAsia="Arial" w:hAnsi="Arial"/>
        </w:rPr>
        <w:t xml:space="preserve">Two-stage persuasion framework (Tooher and Lallie, Computers 2025) [A2]</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article (MDPI, open access).</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2,995 phishing emails generated by GPT-o1 and labelled with Cialdini’s principles by the design of the generation, against 1,000 real legitimate emails; DistilBERT followed by a small dense network. Text only.</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94% accuracy and 98.4% AUC on a held-out split.</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The attacks and their labels are machine-made while the legitimate mail is real, so writing style alone can separate the classes. In the project’s own data, real and synthetic attack emails can be told apart by their words alone (style-confound test, master document Section 8.21), which is why real and synthetic results are reported apart.</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Tooher and Lallie report 94% accuracy for a two-stage persuasion-based detector, but their phishing emails were generated by a language model and labelled by design while their legitimate emails are real [A2]; in such a set, writing style alone can separate the classes.</w:t>
      </w:r>
    </w:p>
    <w:p>
      <w:pPr>
        <w:pStyle w:val="Heading2"/>
        <w:keepNext/>
        <w:spacing w:after="100" w:before="240"/>
      </w:pPr>
      <w:r>
        <w:rPr>
          <w:rFonts w:ascii="Arial" w:cs="Arial" w:eastAsia="Arial" w:hAnsi="Arial"/>
        </w:rPr>
        <w:t xml:space="preserve">ConvoSentinel (Ai et al., EMNLP 2024) [A9]</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(arXiv v2); venue and pages from the ACL Anthology.</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Detection of chat-based social engineering at message, snippet and conversation level, on 1,400 LinkedIn-style conversations generated by language models.</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The paper takes no number from it.</w:t>
      </w:r>
    </w:p>
    <w:p>
      <w:pPr>
        <w:spacing w:after="100"/>
      </w:pPr>
      <w:r>
        <w:rPr>
          <w:rFonts w:ascii="Arial" w:cs="Arial" w:eastAsia="Arial" w:hAnsi="Arial"/>
          <w:b/>
          <w:bCs/>
          <w:sz w:val="21"/>
          <w:szCs w:val="21"/>
        </w:rPr>
        <w:t xml:space="preserve">How the pipeline differs: </w:t>
      </w:r>
      <w:r>
        <w:rPr>
          <w:rFonts w:ascii="Arial" w:cs="Arial" w:eastAsia="Arial" w:hAnsi="Arial"/>
          <w:sz w:val="21"/>
          <w:szCs w:val="21"/>
        </w:rPr>
        <w:t xml:space="preserve">Chat, not email: there are no headers and no thread metadata, and the conversations are generated.</w:t>
      </w:r>
    </w:p>
    <w:p>
      <w:pPr>
        <w:keepNext/>
        <w:spacing w:after="60"/>
      </w:pPr>
      <w:r>
        <w:rPr>
          <w:rFonts w:ascii="Arial" w:cs="Arial" w:eastAsia="Arial" w:hAnsi="Arial"/>
          <w:b/>
          <w:bCs/>
          <w:sz w:val="21"/>
          <w:szCs w:val="21"/>
        </w:rPr>
        <w:t xml:space="preserve">Sentence for the paper:</w:t>
      </w:r>
    </w:p>
    <w:p>
      <w:pPr>
        <w:spacing w:after="160"/>
        <w:ind w:left="360"/>
      </w:pPr>
      <w:r>
        <w:rPr>
          <w:rFonts w:ascii="Arial" w:cs="Arial" w:eastAsia="Arial" w:hAnsi="Arial"/>
          <w:i/>
          <w:iCs/>
          <w:sz w:val="21"/>
          <w:szCs w:val="21"/>
        </w:rPr>
        <w:t xml:space="preserve">Conversation-level detection has been studied for chat: ConvoSentinel classifies social-engineering attempts at message and conversation level in 1,400 generated conversations [A9], without the header and thread metadata that email provides.</w:t>
      </w:r>
    </w:p>
    <w:p>
      <w:pPr>
        <w:pStyle w:val="Heading1"/>
        <w:spacing w:after="140" w:before="300"/>
      </w:pPr>
      <w:r>
        <w:rPr>
          <w:rFonts w:ascii="Arial" w:cs="Arial" w:eastAsia="Arial" w:hAnsi="Arial"/>
        </w:rPr>
        <w:t xml:space="preserve">2. Read in part, for method and framing</w:t>
      </w:r>
    </w:p>
    <w:p>
      <w:pPr>
        <w:pStyle w:val="ListParagraph"/>
        <w:numPr>
          <w:ilvl w:val="0"/>
          <w:numId w:val="2"/>
        </w:numPr>
        <w:spacing w:after="80"/>
      </w:pPr>
      <w:r>
        <w:rPr>
          <w:rFonts w:ascii="Arial" w:cs="Arial" w:eastAsia="Arial" w:hAnsi="Arial"/>
          <w:b/>
          <w:bCs/>
          <w:sz w:val="21"/>
          <w:szCs w:val="21"/>
        </w:rPr>
        <w:t xml:space="preserve">Automated fact-checking survey (Guo et al., TACL 2022) [B11]. </w:t>
      </w:r>
      <w:r>
        <w:rPr>
          <w:rFonts w:ascii="Arial" w:cs="Arial" w:eastAsia="Arial" w:hAnsi="Arial"/>
          <w:sz w:val="21"/>
          <w:szCs w:val="21"/>
        </w:rPr>
        <w:t xml:space="preserve">Framework section read. The task is divided into claim detection, evidence retrieval and claim verification, where verification gives a verdict and a justification. Sentence for the paper: “Automated fact-checking divides the task into claim detection, evidence retrieval and claim verification, which gives a verdict and its justification [B11]; the pipeline follows this division, with header fields and thread history as the evidence.”</w:t>
      </w:r>
    </w:p>
    <w:p>
      <w:pPr>
        <w:pStyle w:val="ListParagraph"/>
        <w:numPr>
          <w:ilvl w:val="0"/>
          <w:numId w:val="2"/>
        </w:numPr>
        <w:spacing w:after="80"/>
      </w:pPr>
      <w:r>
        <w:rPr>
          <w:rFonts w:ascii="Arial" w:cs="Arial" w:eastAsia="Arial" w:hAnsi="Arial"/>
          <w:b/>
          <w:bCs/>
          <w:sz w:val="21"/>
          <w:szCs w:val="21"/>
        </w:rPr>
        <w:t xml:space="preserve">Dos and don’ts of machine learning in security (Arp et al., USENIX Security 2022) [B12]. </w:t>
      </w:r>
      <w:r>
        <w:rPr>
          <w:rFonts w:ascii="Arial" w:cs="Arial" w:eastAsia="Arial" w:hAnsi="Arial"/>
          <w:sz w:val="21"/>
          <w:szCs w:val="21"/>
        </w:rPr>
        <w:t xml:space="preserve">Pitfall list and definitions read. Ten pitfalls, among them sampling bias, spurious correlations, data snooping and inappropriate baselines; all 30 papers they examined had at least three. Sentence for the paper: “Following the pitfalls catalogued by Arp et al. [B12], the test split was frozen before it was read, results are reported per source, and a style-confound test measures how far the collections differ by wording alone.”</w:t>
      </w:r>
    </w:p>
    <w:p>
      <w:pPr>
        <w:pStyle w:val="ListParagraph"/>
        <w:numPr>
          <w:ilvl w:val="0"/>
          <w:numId w:val="2"/>
        </w:numPr>
        <w:spacing w:after="80"/>
      </w:pPr>
      <w:r>
        <w:rPr>
          <w:rFonts w:ascii="Arial" w:cs="Arial" w:eastAsia="Arial" w:hAnsi="Arial"/>
          <w:b/>
          <w:bCs/>
          <w:sz w:val="21"/>
          <w:szCs w:val="21"/>
        </w:rPr>
        <w:t xml:space="preserve">RFC 8601, Authentication-Results [A23]. </w:t>
      </w:r>
      <w:r>
        <w:rPr>
          <w:rFonts w:ascii="Arial" w:cs="Arial" w:eastAsia="Arial" w:hAnsi="Arial"/>
          <w:sz w:val="21"/>
          <w:szCs w:val="21"/>
        </w:rPr>
        <w:t xml:space="preserve">Section 5 read. A receiving server must delete any Authentication-Results field that claims to have been added within its trust boundary but did not come directly from a trusted server. Sentence for the paper: “Only Authentication-Results fields added by the receiving side are trusted, as RFC 8601 requires [A23].”</w:t>
      </w:r>
    </w:p>
    <w:p>
      <w:pPr>
        <w:pStyle w:val="Heading1"/>
        <w:spacing w:after="140" w:before="300"/>
      </w:pPr>
      <w:r>
        <w:rPr>
          <w:rFonts w:ascii="Arial" w:cs="Arial" w:eastAsia="Arial" w:hAnsi="Arial"/>
        </w:rPr>
        <w:t xml:space="preserve">3. Read at abstract level</w:t>
      </w:r>
    </w:p>
    <w:p>
      <w:pPr>
        <w:spacing w:after="120"/>
      </w:pPr>
      <w:r>
        <w:rPr>
          <w:rFonts w:ascii="Arial" w:cs="Arial" w:eastAsia="Arial" w:hAnsi="Arial"/>
          <w:sz w:val="21"/>
          <w:szCs w:val="21"/>
        </w:rPr>
        <w:t xml:space="preserve">For these the paper says only what the source table records from the abstract or the record.</w:t>
      </w:r>
    </w:p>
    <w:p>
      <w:pPr>
        <w:pStyle w:val="ListParagraph"/>
        <w:numPr>
          <w:ilvl w:val="0"/>
          <w:numId w:val="2"/>
        </w:numPr>
        <w:spacing w:after="80"/>
      </w:pPr>
      <w:r>
        <w:rPr>
          <w:rFonts w:ascii="Arial" w:cs="Arial" w:eastAsia="Arial" w:hAnsi="Arial"/>
          <w:b/>
          <w:bCs/>
          <w:sz w:val="21"/>
          <w:szCs w:val="21"/>
        </w:rPr>
        <w:t xml:space="preserve">[A4] Valecha et al. (TDSC 2022): </w:t>
      </w:r>
      <w:r>
        <w:rPr>
          <w:rFonts w:ascii="Arial" w:cs="Arial" w:eastAsia="Arial" w:hAnsi="Arial"/>
          <w:sz w:val="21"/>
          <w:szCs w:val="21"/>
        </w:rPr>
        <w:t xml:space="preserve">gain and loss persuasion cues improve phishing classifiers over a cue-free baseline (F-score gains of about 5% to 20%). Use: optional, persuasion cues as features.</w:t>
      </w:r>
    </w:p>
    <w:p>
      <w:pPr>
        <w:pStyle w:val="ListParagraph"/>
        <w:numPr>
          <w:ilvl w:val="0"/>
          <w:numId w:val="2"/>
        </w:numPr>
        <w:spacing w:after="80"/>
      </w:pPr>
      <w:r>
        <w:rPr>
          <w:rFonts w:ascii="Arial" w:cs="Arial" w:eastAsia="Arial" w:hAnsi="Arial"/>
          <w:b/>
          <w:bCs/>
          <w:sz w:val="21"/>
          <w:szCs w:val="21"/>
        </w:rPr>
        <w:t xml:space="preserve">[A13] Stajano and Wilson (CACM 2011): </w:t>
      </w:r>
      <w:r>
        <w:rPr>
          <w:rFonts w:ascii="Arial" w:cs="Arial" w:eastAsia="Arial" w:hAnsi="Arial"/>
          <w:sz w:val="21"/>
          <w:szCs w:val="21"/>
        </w:rPr>
        <w:t xml:space="preserve">seven principles of scam victims, including Time. Use: the source of the urgency tactic, kept apart from scarcity.</w:t>
      </w:r>
    </w:p>
    <w:p>
      <w:pPr>
        <w:pStyle w:val="ListParagraph"/>
        <w:numPr>
          <w:ilvl w:val="0"/>
          <w:numId w:val="2"/>
        </w:numPr>
        <w:spacing w:after="80"/>
      </w:pPr>
      <w:r>
        <w:rPr>
          <w:rFonts w:ascii="Arial" w:cs="Arial" w:eastAsia="Arial" w:hAnsi="Arial"/>
          <w:b/>
          <w:bCs/>
          <w:sz w:val="21"/>
          <w:szCs w:val="21"/>
        </w:rPr>
        <w:t xml:space="preserve">[A25] Ferreira, Coventry and Lenzini (HAS 2015): </w:t>
      </w:r>
      <w:r>
        <w:rPr>
          <w:rFonts w:ascii="Arial" w:cs="Arial" w:eastAsia="Arial" w:hAnsi="Arial"/>
          <w:sz w:val="21"/>
          <w:szCs w:val="21"/>
        </w:rPr>
        <w:t xml:space="preserve">Cialdini’s principles, Gragg’s triggers and Stajano and Wilson’s principles merged into one list and mapped onto phishing emails, where they appear in combinations. Use: the tactic taxonomy.</w:t>
      </w:r>
    </w:p>
    <w:p>
      <w:pPr>
        <w:pStyle w:val="ListParagraph"/>
        <w:numPr>
          <w:ilvl w:val="0"/>
          <w:numId w:val="2"/>
        </w:numPr>
        <w:spacing w:after="80"/>
      </w:pPr>
      <w:r>
        <w:rPr>
          <w:rFonts w:ascii="Arial" w:cs="Arial" w:eastAsia="Arial" w:hAnsi="Arial"/>
          <w:b/>
          <w:bCs/>
          <w:sz w:val="21"/>
          <w:szCs w:val="21"/>
        </w:rPr>
        <w:t xml:space="preserve">[A12] Cialdini (2006): </w:t>
      </w:r>
      <w:r>
        <w:rPr>
          <w:rFonts w:ascii="Arial" w:cs="Arial" w:eastAsia="Arial" w:hAnsi="Arial"/>
          <w:sz w:val="21"/>
          <w:szCs w:val="21"/>
        </w:rPr>
        <w:t xml:space="preserve">bibliographic record only; the book was not read. Use: optional, for the principle names; A25 can carry the taxonomy instead.</w:t>
      </w:r>
    </w:p>
    <w:p>
      <w:pPr>
        <w:pStyle w:val="ListParagraph"/>
        <w:numPr>
          <w:ilvl w:val="0"/>
          <w:numId w:val="2"/>
        </w:numPr>
        <w:spacing w:after="80"/>
      </w:pPr>
      <w:r>
        <w:rPr>
          <w:rFonts w:ascii="Arial" w:cs="Arial" w:eastAsia="Arial" w:hAnsi="Arial"/>
          <w:b/>
          <w:bCs/>
          <w:sz w:val="21"/>
          <w:szCs w:val="21"/>
        </w:rPr>
        <w:t xml:space="preserve">[A26] Lumen (Shi et al., 2022), [A10] SemEval-2023 Task 3, [A27] Da San Martino et al. (2019): </w:t>
      </w:r>
      <w:r>
        <w:rPr>
          <w:rFonts w:ascii="Arial" w:cs="Arial" w:eastAsia="Arial" w:hAnsi="Arial"/>
          <w:sz w:val="21"/>
          <w:szCs w:val="21"/>
        </w:rPr>
        <w:t xml:space="preserve">influence cues and persuasion or propaganda techniques in texts and news. Use: optional background on technique taxonomies.</w:t>
      </w:r>
    </w:p>
    <w:p>
      <w:pPr>
        <w:pStyle w:val="ListParagraph"/>
        <w:numPr>
          <w:ilvl w:val="0"/>
          <w:numId w:val="2"/>
        </w:numPr>
        <w:spacing w:after="80"/>
      </w:pPr>
      <w:r>
        <w:rPr>
          <w:rFonts w:ascii="Arial" w:cs="Arial" w:eastAsia="Arial" w:hAnsi="Arial"/>
          <w:b/>
          <w:bCs/>
          <w:sz w:val="21"/>
          <w:szCs w:val="21"/>
        </w:rPr>
        <w:t xml:space="preserve">[A11] Al-Subaiey et al. (2024): </w:t>
      </w:r>
      <w:r>
        <w:rPr>
          <w:rFonts w:ascii="Arial" w:cs="Arial" w:eastAsia="Arial" w:hAnsi="Arial"/>
          <w:sz w:val="21"/>
          <w:szCs w:val="21"/>
        </w:rPr>
        <w:t xml:space="preserve">binary phishing detection (F1 0.99) in a web application with explanations; source of the merged Kaggle corpus. Use: data. [A22] the Kaggle data set itself, optional.</w:t>
      </w:r>
    </w:p>
    <w:p>
      <w:pPr>
        <w:pStyle w:val="ListParagraph"/>
        <w:numPr>
          <w:ilvl w:val="0"/>
          <w:numId w:val="2"/>
        </w:numPr>
        <w:spacing w:after="80"/>
      </w:pPr>
      <w:r>
        <w:rPr>
          <w:rFonts w:ascii="Arial" w:cs="Arial" w:eastAsia="Arial" w:hAnsi="Arial"/>
          <w:b/>
          <w:bCs/>
          <w:sz w:val="21"/>
          <w:szCs w:val="21"/>
        </w:rPr>
        <w:t xml:space="preserve">[A30] Das et al. (2020): </w:t>
      </w:r>
      <w:r>
        <w:rPr>
          <w:rFonts w:ascii="Arial" w:cs="Arial" w:eastAsia="Arial" w:hAnsi="Arial"/>
          <w:sz w:val="21"/>
          <w:szCs w:val="21"/>
        </w:rPr>
        <w:t xml:space="preserve">data set quality and the base-rate fallacy as open problems of phishing research. Use: optional, evaluation framing.</w:t>
      </w:r>
    </w:p>
    <w:p>
      <w:pPr>
        <w:pStyle w:val="ListParagraph"/>
        <w:numPr>
          <w:ilvl w:val="0"/>
          <w:numId w:val="2"/>
        </w:numPr>
        <w:spacing w:after="80"/>
      </w:pPr>
      <w:r>
        <w:rPr>
          <w:rFonts w:ascii="Arial" w:cs="Arial" w:eastAsia="Arial" w:hAnsi="Arial"/>
          <w:b/>
          <w:bCs/>
          <w:sz w:val="21"/>
          <w:szCs w:val="21"/>
        </w:rPr>
        <w:t xml:space="preserve">[B1] van der Heijden and Allodi (2019), [B2] Ho et al. (2017): </w:t>
      </w:r>
      <w:r>
        <w:rPr>
          <w:rFonts w:ascii="Arial" w:cs="Arial" w:eastAsia="Arial" w:hAnsi="Arial"/>
          <w:sz w:val="21"/>
          <w:szCs w:val="21"/>
        </w:rPr>
        <w:t xml:space="preserve">triage of phishing by cognitive triggers; anomaly ranking of credential spearphishing in one enterprise. Use: optional.</w:t>
      </w:r>
    </w:p>
    <w:p>
      <w:pPr>
        <w:pStyle w:val="ListParagraph"/>
        <w:numPr>
          <w:ilvl w:val="0"/>
          <w:numId w:val="2"/>
        </w:numPr>
        <w:spacing w:after="80"/>
      </w:pPr>
      <w:r>
        <w:rPr>
          <w:rFonts w:ascii="Arial" w:cs="Arial" w:eastAsia="Arial" w:hAnsi="Arial"/>
          <w:b/>
          <w:bCs/>
          <w:sz w:val="21"/>
          <w:szCs w:val="21"/>
        </w:rPr>
        <w:t xml:space="preserve">[B5] Chen, Paxson and Jiang (2020): </w:t>
      </w:r>
      <w:r>
        <w:rPr>
          <w:rFonts w:ascii="Arial" w:cs="Arial" w:eastAsia="Arial" w:hAnsi="Arial"/>
          <w:sz w:val="21"/>
          <w:szCs w:val="21"/>
        </w:rPr>
        <w:t xml:space="preserve">18 kinds of inconsistency between mail servers and clients let attackers bypass sender authentication; all 10 providers and 19 clients tested were affected. Use: a pass verdict is not proof of the person.</w:t>
      </w:r>
    </w:p>
    <w:p>
      <w:pPr>
        <w:pStyle w:val="ListParagraph"/>
        <w:numPr>
          <w:ilvl w:val="0"/>
          <w:numId w:val="2"/>
        </w:numPr>
        <w:spacing w:after="80"/>
      </w:pPr>
      <w:r>
        <w:rPr>
          <w:rFonts w:ascii="Arial" w:cs="Arial" w:eastAsia="Arial" w:hAnsi="Arial"/>
          <w:b/>
          <w:bCs/>
          <w:sz w:val="21"/>
          <w:szCs w:val="21"/>
        </w:rPr>
        <w:t xml:space="preserve">[B4] Hu and Wang (2018), [B6] Shen et al. (2021): </w:t>
      </w:r>
      <w:r>
        <w:rPr>
          <w:rFonts w:ascii="Arial" w:cs="Arial" w:eastAsia="Arial" w:hAnsi="Arial"/>
          <w:sz w:val="21"/>
          <w:szCs w:val="21"/>
        </w:rPr>
        <w:t xml:space="preserve">forged mail still reaches inboxes, most providers show no warning, and new spoofing attacks bypass SPF, DKIM and DMARC. Use: optional, with B5.</w:t>
      </w:r>
    </w:p>
    <w:p>
      <w:pPr>
        <w:pStyle w:val="ListParagraph"/>
        <w:numPr>
          <w:ilvl w:val="0"/>
          <w:numId w:val="2"/>
        </w:numPr>
        <w:spacing w:after="80"/>
      </w:pPr>
      <w:r>
        <w:rPr>
          <w:rFonts w:ascii="Arial" w:cs="Arial" w:eastAsia="Arial" w:hAnsi="Arial"/>
          <w:b/>
          <w:bCs/>
          <w:sz w:val="21"/>
          <w:szCs w:val="21"/>
        </w:rPr>
        <w:t xml:space="preserve">[B7] RFC 7208, [B8] RFC 6376, [B9] RFC 9989: </w:t>
      </w:r>
      <w:r>
        <w:rPr>
          <w:rFonts w:ascii="Arial" w:cs="Arial" w:eastAsia="Arial" w:hAnsi="Arial"/>
          <w:sz w:val="21"/>
          <w:szCs w:val="21"/>
        </w:rPr>
        <w:t xml:space="preserve">what SPF, DKIM and DMARC check. Use: background; cite RFC 9989 for DMARC, not the obsolete RFC 7489.</w:t>
      </w:r>
    </w:p>
    <w:p>
      <w:pPr>
        <w:pStyle w:val="ListParagraph"/>
        <w:numPr>
          <w:ilvl w:val="0"/>
          <w:numId w:val="2"/>
        </w:numPr>
        <w:spacing w:after="80"/>
      </w:pPr>
      <w:r>
        <w:rPr>
          <w:rFonts w:ascii="Arial" w:cs="Arial" w:eastAsia="Arial" w:hAnsi="Arial"/>
          <w:b/>
          <w:bCs/>
          <w:sz w:val="21"/>
          <w:szCs w:val="21"/>
        </w:rPr>
        <w:t xml:space="preserve">[B10] FEVER (2018): </w:t>
      </w:r>
      <w:r>
        <w:rPr>
          <w:rFonts w:ascii="Arial" w:cs="Arial" w:eastAsia="Arial" w:hAnsi="Arial"/>
          <w:sz w:val="21"/>
          <w:szCs w:val="21"/>
        </w:rPr>
        <w:t xml:space="preserve">claims labelled Supported, Refuted or NotEnoughInfo with evidence sentences. Use: optional, beside B11, for a three-valued verdict.</w:t>
      </w:r>
    </w:p>
    <w:p>
      <w:pPr>
        <w:pStyle w:val="ListParagraph"/>
        <w:numPr>
          <w:ilvl w:val="0"/>
          <w:numId w:val="2"/>
        </w:numPr>
        <w:spacing w:after="80"/>
      </w:pPr>
      <w:r>
        <w:rPr>
          <w:rFonts w:ascii="Arial" w:cs="Arial" w:eastAsia="Arial" w:hAnsi="Arial"/>
          <w:b/>
          <w:bCs/>
          <w:sz w:val="21"/>
          <w:szCs w:val="21"/>
        </w:rPr>
        <w:t xml:space="preserve">[B13] Geirhos et al. (2020): </w:t>
      </w:r>
      <w:r>
        <w:rPr>
          <w:rFonts w:ascii="Arial" w:cs="Arial" w:eastAsia="Arial" w:hAnsi="Arial"/>
          <w:sz w:val="21"/>
          <w:szCs w:val="21"/>
        </w:rPr>
        <w:t xml:space="preserve">shortcuts are decision rules that do well on benchmarks and fail in harder conditions. Use: N1, link-reading as a shortcut.</w:t>
      </w:r>
    </w:p>
    <w:p>
      <w:pPr>
        <w:pStyle w:val="ListParagraph"/>
        <w:numPr>
          <w:ilvl w:val="0"/>
          <w:numId w:val="2"/>
        </w:numPr>
        <w:spacing w:after="80"/>
      </w:pPr>
      <w:r>
        <w:rPr>
          <w:rFonts w:ascii="Arial" w:cs="Arial" w:eastAsia="Arial" w:hAnsi="Arial"/>
          <w:b/>
          <w:bCs/>
          <w:sz w:val="21"/>
          <w:szCs w:val="21"/>
        </w:rPr>
        <w:t xml:space="preserve">[B15] Pangakis et al. (2023), [B14] Gilardi et al. (2023): </w:t>
      </w:r>
      <w:r>
        <w:rPr>
          <w:rFonts w:ascii="Arial" w:cs="Arial" w:eastAsia="Arial" w:hAnsi="Arial"/>
          <w:sz w:val="21"/>
          <w:szCs w:val="21"/>
        </w:rPr>
        <w:t xml:space="preserve">LLM annotation can match crowd workers on some tasks, but its quality varies by task, so it must be validated against human labels. Use: the label limitation; B14 only beside B15.</w:t>
      </w:r>
    </w:p>
    <w:p>
      <w:pPr>
        <w:pStyle w:val="ListParagraph"/>
        <w:numPr>
          <w:ilvl w:val="0"/>
          <w:numId w:val="2"/>
        </w:numPr>
        <w:spacing w:after="80"/>
      </w:pPr>
      <w:r>
        <w:rPr>
          <w:rFonts w:ascii="Arial" w:cs="Arial" w:eastAsia="Arial" w:hAnsi="Arial"/>
          <w:b/>
          <w:bCs/>
          <w:sz w:val="21"/>
          <w:szCs w:val="21"/>
        </w:rPr>
        <w:t xml:space="preserve">[B16] DistilBERT (Sanh et al., 2019), [A24] LIME (Ribeiro et al., 2016): </w:t>
      </w:r>
      <w:r>
        <w:rPr>
          <w:rFonts w:ascii="Arial" w:cs="Arial" w:eastAsia="Arial" w:hAnsi="Arial"/>
          <w:sz w:val="21"/>
          <w:szCs w:val="21"/>
        </w:rPr>
        <w:t xml:space="preserve">the tactic classifier and the N1 models; the word highlights. Use: method.</w:t>
      </w:r>
    </w:p>
    <w:p>
      <w:pPr>
        <w:pStyle w:val="ListParagraph"/>
        <w:numPr>
          <w:ilvl w:val="0"/>
          <w:numId w:val="2"/>
        </w:numPr>
        <w:spacing w:after="80"/>
      </w:pPr>
      <w:r>
        <w:rPr>
          <w:rFonts w:ascii="Arial" w:cs="Arial" w:eastAsia="Arial" w:hAnsi="Arial"/>
          <w:b/>
          <w:bCs/>
          <w:sz w:val="21"/>
          <w:szCs w:val="21"/>
        </w:rPr>
        <w:t xml:space="preserve">[B18] Heiding et al. (2024), [B19] Adjei and Ayivor (2025): </w:t>
      </w:r>
      <w:r>
        <w:rPr>
          <w:rFonts w:ascii="Arial" w:cs="Arial" w:eastAsia="Arial" w:hAnsi="Arial"/>
          <w:sz w:val="21"/>
          <w:szCs w:val="21"/>
        </w:rPr>
        <w:t xml:space="preserve">LLM-written phishing reaches high click rates; near-perfect scores where generated attacks meet real legitimate mail. Use: optional, introduction or confound.</w:t>
      </w:r>
    </w:p>
    <w:p>
      <w:pPr>
        <w:pStyle w:val="ListParagraph"/>
        <w:numPr>
          <w:ilvl w:val="0"/>
          <w:numId w:val="2"/>
        </w:numPr>
        <w:spacing w:after="80"/>
      </w:pPr>
      <w:r>
        <w:rPr>
          <w:rFonts w:ascii="Arial" w:cs="Arial" w:eastAsia="Arial" w:hAnsi="Arial"/>
          <w:b/>
          <w:bCs/>
          <w:sz w:val="21"/>
          <w:szCs w:val="21"/>
        </w:rPr>
        <w:t xml:space="preserve">[A14] IC3 2025, [A16] DBIR 2026, [A15] DBIR 2023: </w:t>
      </w:r>
      <w:r>
        <w:rPr>
          <w:rFonts w:ascii="Arial" w:cs="Arial" w:eastAsia="Arial" w:hAnsi="Arial"/>
          <w:sz w:val="21"/>
          <w:szCs w:val="21"/>
        </w:rPr>
        <w:t xml:space="preserve">24,768 BEC complaints and $3,046,598,558 in reported losses in 2025; pretexting defined as invented scenarios with the attacker taking part in the conversation or thread, the initial access vector in 6% of breaches. Use: introduction (A15 optional).</w:t>
      </w:r>
    </w:p>
    <w:p>
      <w:pPr>
        <w:pStyle w:val="ListParagraph"/>
        <w:numPr>
          <w:ilvl w:val="0"/>
          <w:numId w:val="2"/>
        </w:numPr>
        <w:spacing w:after="80"/>
      </w:pPr>
      <w:r>
        <w:rPr>
          <w:rFonts w:ascii="Arial" w:cs="Arial" w:eastAsia="Arial" w:hAnsi="Arial"/>
          <w:b/>
          <w:bCs/>
          <w:sz w:val="21"/>
          <w:szCs w:val="21"/>
        </w:rPr>
        <w:t xml:space="preserve">[A17] to [A21]: </w:t>
      </w:r>
      <w:r>
        <w:rPr>
          <w:rFonts w:ascii="Arial" w:cs="Arial" w:eastAsia="Arial" w:hAnsi="Arial"/>
          <w:sz w:val="21"/>
          <w:szCs w:val="21"/>
        </w:rPr>
        <w:t xml:space="preserve">Enron, Nazario, SpamAssassin, phishing_pot and the Apache list archives. Use: data.</w:t>
      </w:r>
    </w:p>
    <w:p>
      <w:pPr>
        <w:pStyle w:val="Heading1"/>
        <w:spacing w:after="140" w:before="300"/>
      </w:pPr>
      <w:r>
        <w:rPr>
          <w:rFonts w:ascii="Arial" w:cs="Arial" w:eastAsia="Arial" w:hAnsi="Arial"/>
        </w:rPr>
        <w:t xml:space="preserve">4. How the related-work section will be built from these</w:t>
      </w:r>
    </w:p>
    <w:p>
      <w:pPr>
        <w:spacing w:after="120"/>
      </w:pPr>
      <w:r>
        <w:rPr>
          <w:rFonts w:ascii="Arial" w:cs="Arial" w:eastAsia="Arial" w:hAnsi="Arial"/>
          <w:sz w:val="21"/>
          <w:szCs w:val="21"/>
        </w:rPr>
        <w:t xml:space="preserve">Section II, about two thirds of a page: five short paragraphs, each ending with how the pipeline differs.</w:t>
      </w:r>
    </w:p>
    <w:p>
      <w:pPr>
        <w:pStyle w:val="ListParagraph"/>
        <w:numPr>
          <w:ilvl w:val="0"/>
          <w:numId w:val="2"/>
        </w:numPr>
        <w:spacing w:after="80"/>
      </w:pPr>
      <w:r>
        <w:rPr>
          <w:rFonts w:ascii="Arial" w:cs="Arial" w:eastAsia="Arial" w:hAnsi="Arial"/>
          <w:b/>
          <w:bCs/>
          <w:sz w:val="21"/>
          <w:szCs w:val="21"/>
        </w:rPr>
        <w:t xml:space="preserve">Persuasion and tactics: </w:t>
      </w:r>
      <w:r>
        <w:rPr>
          <w:rFonts w:ascii="Arial" w:cs="Arial" w:eastAsia="Arial" w:hAnsi="Arial"/>
          <w:sz w:val="21"/>
          <w:szCs w:val="21"/>
        </w:rPr>
        <w:t xml:space="preserve">A1, A2, A3, A13, A25 (A4 optional). Persuasion is measurable in text, but the work is body-only, cues also occur in legitimate mail, and generated attacks against real legitimate mail let style separate the classes. Difference: in the pipeline tactics are a plain component; the decision rests on claims and evidence.</w:t>
      </w:r>
    </w:p>
    <w:p>
      <w:pPr>
        <w:pStyle w:val="ListParagraph"/>
        <w:numPr>
          <w:ilvl w:val="0"/>
          <w:numId w:val="2"/>
        </w:numPr>
        <w:spacing w:after="80"/>
      </w:pPr>
      <w:r>
        <w:rPr>
          <w:rFonts w:ascii="Arial" w:cs="Arial" w:eastAsia="Arial" w:hAnsi="Arial"/>
          <w:b/>
          <w:bCs/>
          <w:sz w:val="21"/>
          <w:szCs w:val="21"/>
        </w:rPr>
        <w:t xml:space="preserve">Identity from metadata and history: </w:t>
      </w:r>
      <w:r>
        <w:rPr>
          <w:rFonts w:ascii="Arial" w:cs="Arial" w:eastAsia="Arial" w:hAnsi="Arial"/>
          <w:sz w:val="21"/>
          <w:szCs w:val="21"/>
        </w:rPr>
        <w:t xml:space="preserve">A7, A28, B3, A8 (A29 optional). These judge whether an email fits its sender from header history, structure or writing habits; none compares a claim in the body with the header evidence, account takeover is outside BEC-Guard’s focus and out of reach of infrastructure features, and the lateral-phishing detector needs a URL. Difference: claim-conditioned checks, and thread consistency for takeover.</w:t>
      </w:r>
    </w:p>
    <w:p>
      <w:pPr>
        <w:pStyle w:val="ListParagraph"/>
        <w:numPr>
          <w:ilvl w:val="0"/>
          <w:numId w:val="2"/>
        </w:numPr>
        <w:spacing w:after="80"/>
      </w:pPr>
      <w:r>
        <w:rPr>
          <w:rFonts w:ascii="Arial" w:cs="Arial" w:eastAsia="Arial" w:hAnsi="Arial"/>
          <w:b/>
          <w:bCs/>
          <w:sz w:val="21"/>
          <w:szCs w:val="21"/>
        </w:rPr>
        <w:t xml:space="preserve">Claims and model judgement: </w:t>
      </w:r>
      <w:r>
        <w:rPr>
          <w:rFonts w:ascii="Arial" w:cs="Arial" w:eastAsia="Arial" w:hAnsi="Arial"/>
          <w:sz w:val="21"/>
          <w:szCs w:val="21"/>
        </w:rPr>
        <w:t xml:space="preserve">A6, B17, A9. Paul et al. leave the comparison with metadata to a downstream algorithm; ChatSpamDetector asks a model to read the headers but excluded emails without links; ConvoSentinel works on chat. Difference: fixed rules with recorded reasons, no model call at run time, link-free evaluation.</w:t>
      </w:r>
    </w:p>
    <w:p>
      <w:pPr>
        <w:pStyle w:val="ListParagraph"/>
        <w:numPr>
          <w:ilvl w:val="0"/>
          <w:numId w:val="2"/>
        </w:numPr>
        <w:spacing w:after="80"/>
      </w:pPr>
      <w:r>
        <w:rPr>
          <w:rFonts w:ascii="Arial" w:cs="Arial" w:eastAsia="Arial" w:hAnsi="Arial"/>
          <w:b/>
          <w:bCs/>
          <w:sz w:val="21"/>
          <w:szCs w:val="21"/>
        </w:rPr>
        <w:t xml:space="preserve">Authentication and its limits: </w:t>
      </w:r>
      <w:r>
        <w:rPr>
          <w:rFonts w:ascii="Arial" w:cs="Arial" w:eastAsia="Arial" w:hAnsi="Arial"/>
          <w:sz w:val="21"/>
          <w:szCs w:val="21"/>
        </w:rPr>
        <w:t xml:space="preserve">B7, B8, B9, A23, B5 (B4, B6 optional). SPF, DKIM and DMARC prove a domain, not a person, and pass verdicts can be bypassed. Difference: authentication results are used only as evidence for a specific claim. This paragraph may sit in the background part of Section III instead.</w:t>
      </w:r>
    </w:p>
    <w:p>
      <w:pPr>
        <w:pStyle w:val="ListParagraph"/>
        <w:numPr>
          <w:ilvl w:val="0"/>
          <w:numId w:val="2"/>
        </w:numPr>
        <w:spacing w:after="80"/>
      </w:pPr>
      <w:r>
        <w:rPr>
          <w:rFonts w:ascii="Arial" w:cs="Arial" w:eastAsia="Arial" w:hAnsi="Arial"/>
          <w:b/>
          <w:bCs/>
          <w:sz w:val="21"/>
          <w:szCs w:val="21"/>
        </w:rPr>
        <w:t xml:space="preserve">Verification and evaluation validity: </w:t>
      </w:r>
      <w:r>
        <w:rPr>
          <w:rFonts w:ascii="Arial" w:cs="Arial" w:eastAsia="Arial" w:hAnsi="Arial"/>
          <w:sz w:val="21"/>
          <w:szCs w:val="21"/>
        </w:rPr>
        <w:t xml:space="preserve">B11 (B10 optional) in the method section; B12, B13 and B15 (B14 optional) in the evaluation section. The fact-checking division of the task; evaluation pitfalls; shortcuts; validation of LLM labels.</w:t>
      </w:r>
    </w:p>
    <w:p>
      <w:pPr>
        <w:pStyle w:val="ListParagraph"/>
        <w:numPr>
          <w:ilvl w:val="0"/>
          <w:numId w:val="2"/>
        </w:numPr>
        <w:spacing w:after="80"/>
      </w:pPr>
      <w:r>
        <w:rPr>
          <w:rFonts w:ascii="Arial" w:cs="Arial" w:eastAsia="Arial" w:hAnsi="Arial"/>
          <w:b/>
          <w:bCs/>
          <w:sz w:val="21"/>
          <w:szCs w:val="21"/>
        </w:rPr>
        <w:t xml:space="preserve">Outside Section II: </w:t>
      </w:r>
      <w:r>
        <w:rPr>
          <w:rFonts w:ascii="Arial" w:cs="Arial" w:eastAsia="Arial" w:hAnsi="Arial"/>
          <w:sz w:val="21"/>
          <w:szCs w:val="21"/>
        </w:rPr>
        <w:t xml:space="preserve">introduction A14 and A16 (A15, B18 optional); data A17 to A21 and A11; method B16, A24 and A13. About 22 to 26 references in all.</w:t>
      </w:r>
    </w:p>
    <w:p>
      <w:pPr>
        <w:pStyle w:val="Heading1"/>
        <w:spacing w:after="140" w:before="300"/>
      </w:pPr>
      <w:r>
        <w:rPr>
          <w:rFonts w:ascii="Arial" w:cs="Arial" w:eastAsia="Arial" w:hAnsi="Arial"/>
        </w:rPr>
        <w:t xml:space="preserve">5. Lines the paper must not cross</w:t>
      </w:r>
    </w:p>
    <w:p>
      <w:pPr>
        <w:pStyle w:val="ListParagraph"/>
        <w:numPr>
          <w:ilvl w:val="0"/>
          <w:numId w:val="2"/>
        </w:numPr>
        <w:spacing w:after="80"/>
      </w:pPr>
      <w:r>
        <w:rPr>
          <w:rFonts w:ascii="Arial" w:cs="Arial" w:eastAsia="Arial" w:hAnsi="Arial"/>
          <w:sz w:val="21"/>
          <w:szCs w:val="21"/>
        </w:rPr>
        <w:t xml:space="preserve">BEC-Guard is a gated pipeline, not parallel score fusion, and the N3 fusion comparator is not “BEC-Guard style”.</w:t>
      </w:r>
    </w:p>
    <w:p>
      <w:pPr>
        <w:pStyle w:val="ListParagraph"/>
        <w:numPr>
          <w:ilvl w:val="0"/>
          <w:numId w:val="2"/>
        </w:numPr>
        <w:spacing w:after="80"/>
      </w:pPr>
      <w:r>
        <w:rPr>
          <w:rFonts w:ascii="Arial" w:cs="Arial" w:eastAsia="Arial" w:hAnsi="Arial"/>
          <w:sz w:val="21"/>
          <w:szCs w:val="21"/>
        </w:rPr>
        <w:t xml:space="preserve">Paul et al. do train classifiers: never write that they propose no detector.</w:t>
      </w:r>
    </w:p>
    <w:p>
      <w:pPr>
        <w:pStyle w:val="ListParagraph"/>
        <w:numPr>
          <w:ilvl w:val="0"/>
          <w:numId w:val="2"/>
        </w:numPr>
        <w:spacing w:after="80"/>
      </w:pPr>
      <w:r>
        <w:rPr>
          <w:rFonts w:ascii="Arial" w:cs="Arial" w:eastAsia="Arial" w:hAnsi="Arial"/>
          <w:sz w:val="21"/>
          <w:szCs w:val="21"/>
        </w:rPr>
        <w:t xml:space="preserve">ChatSpamDetector already asks a model to compare the sender with the headers: no claim to be first.</w:t>
      </w:r>
    </w:p>
    <w:p>
      <w:pPr>
        <w:pStyle w:val="ListParagraph"/>
        <w:numPr>
          <w:ilvl w:val="0"/>
          <w:numId w:val="2"/>
        </w:numPr>
        <w:spacing w:after="80"/>
      </w:pPr>
      <w:r>
        <w:rPr>
          <w:rFonts w:ascii="Arial" w:cs="Arial" w:eastAsia="Arial" w:hAnsi="Arial"/>
          <w:sz w:val="21"/>
          <w:szCs w:val="21"/>
        </w:rPr>
        <w:t xml:space="preserve">Thread hijacking: “we did not find an academic detector with an open evaluation”, never “none exists”.</w:t>
      </w:r>
    </w:p>
    <w:p>
      <w:pPr>
        <w:pStyle w:val="ListParagraph"/>
        <w:numPr>
          <w:ilvl w:val="0"/>
          <w:numId w:val="2"/>
        </w:numPr>
        <w:spacing w:after="80"/>
      </w:pPr>
      <w:r>
        <w:rPr>
          <w:rFonts w:ascii="Arial" w:cs="Arial" w:eastAsia="Arial" w:hAnsi="Arial"/>
          <w:sz w:val="21"/>
          <w:szCs w:val="21"/>
        </w:rPr>
        <w:t xml:space="preserve">Karki et al.: not “Cialdini’s six principles” and not “human labelled”.</w:t>
      </w:r>
    </w:p>
    <w:p>
      <w:pPr>
        <w:pStyle w:val="ListParagraph"/>
        <w:numPr>
          <w:ilvl w:val="0"/>
          <w:numId w:val="2"/>
        </w:numPr>
        <w:spacing w:after="80"/>
      </w:pPr>
      <w:r>
        <w:rPr>
          <w:rFonts w:ascii="Arial" w:cs="Arial" w:eastAsia="Arial" w:hAnsi="Arial"/>
          <w:sz w:val="21"/>
          <w:szCs w:val="21"/>
        </w:rPr>
        <w:t xml:space="preserve">Pan et al.: 340,912 samples, not emails, and the project’s kappa does not follow their method.</w:t>
      </w:r>
    </w:p>
    <w:p>
      <w:pPr>
        <w:pStyle w:val="ListParagraph"/>
        <w:numPr>
          <w:ilvl w:val="0"/>
          <w:numId w:val="2"/>
        </w:numPr>
        <w:spacing w:after="80"/>
      </w:pPr>
      <w:r>
        <w:rPr>
          <w:rFonts w:ascii="Arial" w:cs="Arial" w:eastAsia="Arial" w:hAnsi="Arial"/>
          <w:sz w:val="21"/>
          <w:szCs w:val="21"/>
        </w:rPr>
        <w:t xml:space="preserve">Gascon et al.: the hacked-account remark is theirs about infrastructure features, made in their related-work section.</w:t>
      </w:r>
    </w:p>
    <w:p>
      <w:pPr>
        <w:pStyle w:val="ListParagraph"/>
        <w:numPr>
          <w:ilvl w:val="0"/>
          <w:numId w:val="2"/>
        </w:numPr>
        <w:spacing w:after="80"/>
      </w:pPr>
      <w:r>
        <w:rPr>
          <w:rFonts w:ascii="Arial" w:cs="Arial" w:eastAsia="Arial" w:hAnsi="Arial"/>
          <w:sz w:val="21"/>
          <w:szCs w:val="21"/>
        </w:rPr>
        <w:t xml:space="preserve">No number from a source read only at abstract level beyond its abstract, and no number from Paul et al.’s Table 2 or from ConvoSentinel (none was recorded).</w:t>
      </w:r>
    </w:p>
    <w:p>
      <w:pPr>
        <w:pStyle w:val="ListParagraph"/>
        <w:numPr>
          <w:ilvl w:val="0"/>
          <w:numId w:val="2"/>
        </w:numPr>
        <w:spacing w:after="80"/>
      </w:pPr>
      <w:r>
        <w:rPr>
          <w:rFonts w:ascii="Arial" w:cs="Arial" w:eastAsia="Arial" w:hAnsi="Arial"/>
          <w:sz w:val="21"/>
          <w:szCs w:val="21"/>
        </w:rPr>
        <w:t xml:space="preserve">DMARC is RFC 9989, not RFC 7489.</w:t>
      </w:r>
    </w:p>
    <w:p>
      <w:pPr>
        <w:pStyle w:val="ListParagraph"/>
        <w:numPr>
          <w:ilvl w:val="0"/>
          <w:numId w:val="2"/>
        </w:numPr>
        <w:spacing w:after="80"/>
      </w:pPr>
      <w:r>
        <w:rPr>
          <w:rFonts w:ascii="Arial" w:cs="Arial" w:eastAsia="Arial" w:hAnsi="Arial"/>
          <w:sz w:val="21"/>
          <w:szCs w:val="21"/>
        </w:rPr>
        <w:t xml:space="preserve">The project’s own results follow master document Section 8.21 and Section 15 items 26 to 28, each with its sample.</w:t>
      </w:r>
    </w:p>
    <w:p>
      <w:pPr>
        <w:pStyle w:val="Heading1"/>
        <w:spacing w:after="140" w:before="300"/>
      </w:pPr>
      <w:r>
        <w:rPr>
          <w:rFonts w:ascii="Arial" w:cs="Arial" w:eastAsia="Arial" w:hAnsi="Arial"/>
        </w:rPr>
        <w:t xml:space="preserve">6. Changes from this pass</w:t>
      </w:r>
    </w:p>
    <w:p>
      <w:pPr>
        <w:pStyle w:val="ListParagraph"/>
        <w:numPr>
          <w:ilvl w:val="0"/>
          <w:numId w:val="2"/>
        </w:numPr>
        <w:spacing w:after="80"/>
      </w:pPr>
      <w:r>
        <w:rPr>
          <w:rFonts w:ascii="Arial" w:cs="Arial" w:eastAsia="Arial" w:hAnsi="Arial"/>
          <w:sz w:val="21"/>
          <w:szCs w:val="21"/>
        </w:rPr>
        <w:t xml:space="preserve">A3 (Pan et al.) was read in full from the SSRN preprint. It is cited as that preprint, its status is Verified and it is Core, so the core set has 31 references.</w:t>
      </w:r>
    </w:p>
    <w:p>
      <w:pPr>
        <w:pStyle w:val="ListParagraph"/>
        <w:numPr>
          <w:ilvl w:val="0"/>
          <w:numId w:val="2"/>
        </w:numPr>
        <w:spacing w:after="80"/>
      </w:pPr>
      <w:r>
        <w:rPr>
          <w:rFonts w:ascii="Arial" w:cs="Arial" w:eastAsia="Arial" w:hAnsi="Arial"/>
          <w:sz w:val="21"/>
          <w:szCs w:val="21"/>
        </w:rPr>
        <w:t xml:space="preserve">B3 (Gascon et al.): the wording of the hacked-account remark is narrowed to what they wrote, about infrastructure features.</w:t>
      </w:r>
    </w:p>
    <w:p>
      <w:pPr>
        <w:pStyle w:val="ListParagraph"/>
        <w:numPr>
          <w:ilvl w:val="0"/>
          <w:numId w:val="2"/>
        </w:numPr>
        <w:spacing w:after="80"/>
      </w:pPr>
      <w:r>
        <w:rPr>
          <w:rFonts w:ascii="Arial" w:cs="Arial" w:eastAsia="Arial" w:hAnsi="Arial"/>
          <w:sz w:val="21"/>
          <w:szCs w:val="21"/>
        </w:rPr>
        <w:t xml:space="preserve">Numbers re-read on 12 October 2026 for these notes: BEC-Guard’s precision, false positive rate and data size; Ho et al.’s 87.3% of 110 incidents; IdentityMailer’s 80% at 200 messages and one confirmation in twelve; Gascon et al.’s detection rate; Karki et al.’s F1 scores; ChatSpamDetector’s prompt wording, exclusion, time and cost.</w:t>
      </w:r>
    </w:p>
    <w:p>
      <w:pPr>
        <w:pStyle w:val="ListParagraph"/>
        <w:numPr>
          <w:ilvl w:val="0"/>
          <w:numId w:val="2"/>
        </w:numPr>
        <w:spacing w:after="80"/>
      </w:pPr>
      <w:r>
        <w:rPr>
          <w:rFonts w:ascii="Arial" w:cs="Arial" w:eastAsia="Arial" w:hAnsi="Arial"/>
          <w:sz w:val="21"/>
          <w:szCs w:val="21"/>
        </w:rPr>
        <w:t xml:space="preserve">Repository: master document 3.15.3 corrects the Pan et al. rows (Sections 5, 8.4, 13 and 17), the Gascon et al. row, and figures 2 and 4 with their text descriptions, which put the tactic classifier inside the claim extractor and said it used regular expressions.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Literature notes, 12 October 2026.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864"/>
      <w:sz w:val="36"/>
      <w:szCs w:val="36"/>
    </w:rPr>
  </w:style>
  <w:style w:type="paragraph" w:styleId="Heading1">
    <w:name w:val="Heading 1"/>
    <w:basedOn w:val="Normal"/>
    <w:next w:val="Normal"/>
    <w:qFormat/>
    <w:pP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2026-10-12T17:54:07.639Z</dcterms:created>
  <dcterms:modified xsi:type="dcterms:W3CDTF">2026-10-12T17:54:07.642Z</dcterms:modified>
</cp:coreProperties>
</file>

<file path=docProps/custom.xml><?xml version="1.0" encoding="utf-8"?>
<Properties xmlns="http://schemas.openxmlformats.org/officeDocument/2006/custom-properties" xmlns:vt="http://schemas.openxmlformats.org/officeDocument/2006/docPropsVTypes"/>
</file>