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Literature source table</w:t>
      </w:r>
    </w:p>
    <w:p>
      <w:pPr>
        <w:spacing w:after="100"/>
      </w:pPr>
      <w:r>
        <w:rPr>
          <w:rFonts w:ascii="Arial" w:cs="Arial" w:eastAsia="Arial" w:hAnsi="Arial"/>
          <w:i/>
          <w:iCs/>
          <w:sz w:val="20"/>
          <w:szCs w:val="20"/>
        </w:rPr>
        <w:t xml:space="preserve">Paper: Detection of Payload-Free Pretexting Emails Through Claim-Routed Verification Against Email Headers and Thread History. Format: IEEE conference, 6 pages, A4. Updated 12 October 2026.</w:t>
      </w:r>
    </w:p>
    <w:p>
      <w:pPr>
        <w:spacing w:after="100"/>
      </w:pPr>
      <w:r>
        <w:rPr>
          <w:rFonts w:ascii="Arial" w:cs="Arial" w:eastAsia="Arial" w:hAnsi="Arial"/>
          <w:sz w:val="20"/>
          <w:szCs w:val="20"/>
        </w:rPr>
        <w:t xml:space="preserve">Every reference below was located on a free page and at least its abstract read before it was listed. Nothing here comes from memory. Where a detail could not be confirmed, the table says so, and that detail is left out of the citation rather than guessed.</w:t>
      </w:r>
    </w:p>
    <w:p>
      <w:pPr>
        <w:pStyle w:val="Heading1"/>
        <w:spacing w:after="120" w:before="240"/>
      </w:pPr>
      <w:r>
        <w:rPr>
          <w:rFonts w:ascii="Arial" w:cs="Arial" w:eastAsia="Arial" w:hAnsi="Arial"/>
        </w:rPr>
        <w:t xml:space="preserve">What this check found</w:t>
      </w:r>
    </w:p>
    <w:p>
      <w:pPr>
        <w:pStyle w:val="ListParagraph"/>
        <w:numPr>
          <w:ilvl w:val="0"/>
          <w:numId w:val="2"/>
        </w:numPr>
        <w:spacing w:after="60"/>
      </w:pPr>
      <w:r>
        <w:rPr>
          <w:rFonts w:ascii="Arial" w:cs="Arial" w:eastAsia="Arial" w:hAnsi="Arial"/>
          <w:sz w:val="20"/>
          <w:szCs w:val="20"/>
        </w:rPr>
        <w:t xml:space="preserve">The master document’s references (Sections 5 and 17 and its background list): 30 entries checked. A5 (Aggarwal et al.) is dropped: no free copy could be found. The other 29 are all verified, 9 of them corrected, completed or replaced (A1, A2, A3, A6, A7, A9, A15, A16, A25).</w:t>
      </w:r>
    </w:p>
    <w:p>
      <w:pPr>
        <w:pStyle w:val="ListParagraph"/>
        <w:numPr>
          <w:ilvl w:val="0"/>
          <w:numId w:val="2"/>
        </w:numPr>
        <w:spacing w:after="60"/>
      </w:pPr>
      <w:r>
        <w:rPr>
          <w:rFonts w:ascii="Arial" w:cs="Arial" w:eastAsia="Arial" w:hAnsi="Arial"/>
          <w:sz w:val="20"/>
          <w:szCs w:val="20"/>
        </w:rPr>
        <w:t xml:space="preserve">19 new references (B1 to B19), all free to read. Full papers were read for the close neighbours: A1, A2, A3, A6, A7, A8, A9, A28, A29, B3 and B17, plus the parts of B11, B12 and A23 the paper relies on. The rest are abstract-level, and the paper will claim nothing beyond the abstract for them.</w:t>
      </w:r>
    </w:p>
    <w:p>
      <w:pPr>
        <w:pStyle w:val="ListParagraph"/>
        <w:numPr>
          <w:ilvl w:val="0"/>
          <w:numId w:val="2"/>
        </w:numPr>
        <w:spacing w:after="60"/>
      </w:pPr>
      <w:r>
        <w:rPr>
          <w:rFonts w:ascii="Arial" w:cs="Arial" w:eastAsia="Arial" w:hAnsi="Arial"/>
          <w:sz w:val="20"/>
          <w:szCs w:val="20"/>
        </w:rPr>
        <w:t xml:space="preserve">Statistics were checked in the primary reports (A14 to A16) and already corrected in master document 3.15.2.</w:t>
      </w:r>
    </w:p>
    <w:p>
      <w:pPr>
        <w:pStyle w:val="ListParagraph"/>
        <w:numPr>
          <w:ilvl w:val="0"/>
          <w:numId w:val="2"/>
        </w:numPr>
        <w:spacing w:after="60"/>
      </w:pPr>
      <w:r>
        <w:rPr>
          <w:rFonts w:ascii="Arial" w:cs="Arial" w:eastAsia="Arial" w:hAnsi="Arial"/>
          <w:sz w:val="20"/>
          <w:szCs w:val="20"/>
        </w:rPr>
        <w:t xml:space="preserve">Every citation field was checked against a free page. Where a detail could not be confirmed it is left out rather than guessed (only the series volume of A17, whose DOI identifies it), and online sources carry the access date, 12 October 2026.</w:t>
      </w:r>
    </w:p>
    <w:p>
      <w:pPr>
        <w:pStyle w:val="ListParagraph"/>
        <w:numPr>
          <w:ilvl w:val="0"/>
          <w:numId w:val="2"/>
        </w:numPr>
        <w:spacing w:after="60"/>
      </w:pPr>
      <w:r>
        <w:rPr>
          <w:rFonts w:ascii="Arial" w:cs="Arial" w:eastAsia="Arial" w:hAnsi="Arial"/>
          <w:sz w:val="20"/>
          <w:szCs w:val="20"/>
        </w:rPr>
        <w:t xml:space="preserve">Recommended core set: 31 references marked Core. That is the most a 6-page IEEE paper can carry; the paper cites from this set only, and is likely to need about 25 of them.</w:t>
      </w:r>
    </w:p>
    <w:p>
      <w:pPr>
        <w:pStyle w:val="Heading1"/>
        <w:spacing w:after="120" w:before="240"/>
      </w:pPr>
      <w:r>
        <w:rPr>
          <w:rFonts w:ascii="Arial" w:cs="Arial" w:eastAsia="Arial" w:hAnsi="Arial"/>
        </w:rPr>
        <w:t xml:space="preserve">What this means for the paper’s claims</w:t>
      </w:r>
    </w:p>
    <w:p>
      <w:pPr>
        <w:pStyle w:val="ListParagraph"/>
        <w:numPr>
          <w:ilvl w:val="0"/>
          <w:numId w:val="2"/>
        </w:numPr>
        <w:spacing w:after="60"/>
      </w:pPr>
      <w:r>
        <w:rPr>
          <w:rFonts w:ascii="Arial" w:cs="Arial" w:eastAsia="Arial" w:hAnsi="Arial"/>
          <w:sz w:val="20"/>
          <w:szCs w:val="20"/>
        </w:rPr>
        <w:t xml:space="preserve">BEC-Guard (A7) is a gated pipeline, not parallel score fusion. Its header-based impersonation classifier decides first, and only flagged emails reach the text and link classifiers. The paper must not say BEC-Guard adds two scores or call the N3 comparator “BEC-Guard style”. What it can say: BEC-Guard judges identity from header history and intent from body text, but removes names and signatures before reading the body, so a claim in the body is never compared with the header evidence. The repository’s description is corrected in master document 3.15.3.</w:t>
      </w:r>
    </w:p>
    <w:p>
      <w:pPr>
        <w:pStyle w:val="ListParagraph"/>
        <w:numPr>
          <w:ilvl w:val="0"/>
          <w:numId w:val="2"/>
        </w:numPr>
        <w:spacing w:after="60"/>
      </w:pPr>
      <w:r>
        <w:rPr>
          <w:rFonts w:ascii="Arial" w:cs="Arial" w:eastAsia="Arial" w:hAnsi="Arial"/>
          <w:sz w:val="20"/>
          <w:szCs w:val="20"/>
        </w:rPr>
        <w:t xml:space="preserve">Paul et al. (A6), cited in the repository as “Mithun et al.”, do train classifiers for their indicators, so “does not propose a detector” goes. What stays, in their words: a mismatch is often a stronger signal than the content, and the comparison with metadata is left to “a downstream verification algorithm”. The pipeline is presented as one such algorithm.</w:t>
      </w:r>
    </w:p>
    <w:p>
      <w:pPr>
        <w:pStyle w:val="ListParagraph"/>
        <w:numPr>
          <w:ilvl w:val="0"/>
          <w:numId w:val="2"/>
        </w:numPr>
        <w:spacing w:after="60"/>
      </w:pPr>
      <w:r>
        <w:rPr>
          <w:rFonts w:ascii="Arial" w:cs="Arial" w:eastAsia="Arial" w:hAnsi="Arial"/>
          <w:sz w:val="20"/>
          <w:szCs w:val="20"/>
        </w:rPr>
        <w:t xml:space="preserve">ChatSpamDetector (B17) already asks GPT-4 to look for brand impersonation and header spoofing signs. The paper therefore cannot claim to be the first to compare what a body claims with the headers. The defensible difference is narrower: typed claims, each routed to a deterministic rule that records its evidence and reason; no LLM at run time; and an evaluation that includes link-free and redacted text, which B17 excluded.</w:t>
      </w:r>
    </w:p>
    <w:p>
      <w:pPr>
        <w:pStyle w:val="ListParagraph"/>
        <w:numPr>
          <w:ilvl w:val="0"/>
          <w:numId w:val="2"/>
        </w:numPr>
        <w:spacing w:after="60"/>
      </w:pPr>
      <w:r>
        <w:rPr>
          <w:rFonts w:ascii="Arial" w:cs="Arial" w:eastAsia="Arial" w:hAnsi="Arial"/>
          <w:sz w:val="20"/>
          <w:szCs w:val="20"/>
        </w:rPr>
        <w:t xml:space="preserve">Pan et al. (A3) is an analysis study on public corpora, not a detector that checks evidence. It supports two points: persuasion cues also appear in legitimate mail (authority in 27.10% of legitimate samples), so a tactic on its own is weak evidence; and its authors say their corpora may not represent BEC and that their cue measures cannot tell a real deadline from a fabricated one. Its 340,912 is a count of LLM-processed samples, not of distinct emails. The repository’s description is corrected in master document 3.15.3.</w:t>
      </w:r>
    </w:p>
    <w:p>
      <w:pPr>
        <w:pStyle w:val="ListParagraph"/>
        <w:numPr>
          <w:ilvl w:val="0"/>
          <w:numId w:val="2"/>
        </w:numPr>
        <w:spacing w:after="60"/>
      </w:pPr>
      <w:r>
        <w:rPr>
          <w:rFonts w:ascii="Arial" w:cs="Arial" w:eastAsia="Arial" w:hAnsi="Arial"/>
          <w:sz w:val="20"/>
          <w:szCs w:val="20"/>
        </w:rPr>
        <w:t xml:space="preserve">Persuasion work (A1, A2, A4, A25) is body-only and mostly payload-bearing. Karki et al. used automatic labels and five principles. Tooher and Lallie compare generated phishing with real legitimate mail, which is the style confound the project’s style-confound test measures.</w:t>
      </w:r>
    </w:p>
    <w:p>
      <w:pPr>
        <w:pStyle w:val="ListParagraph"/>
        <w:numPr>
          <w:ilvl w:val="0"/>
          <w:numId w:val="2"/>
        </w:numPr>
        <w:spacing w:after="60"/>
      </w:pPr>
      <w:r>
        <w:rPr>
          <w:rFonts w:ascii="Arial" w:cs="Arial" w:eastAsia="Arial" w:hAnsi="Arial"/>
          <w:sz w:val="20"/>
          <w:szCs w:val="20"/>
        </w:rPr>
        <w:t xml:space="preserve">The two gaps are stated by the closest systems themselves. Ho et al. (A8) target emails with a malicious URL and say their data likely underestimates non-URL attacks. Gascon et al. (B3) say a hacked account cannot be detected from header traits. These motivate N1 and N2 without overclaiming.</w:t>
      </w:r>
    </w:p>
    <w:p>
      <w:pPr>
        <w:pStyle w:val="ListParagraph"/>
        <w:numPr>
          <w:ilvl w:val="0"/>
          <w:numId w:val="2"/>
        </w:numPr>
        <w:spacing w:after="60"/>
      </w:pPr>
      <w:r>
        <w:rPr>
          <w:rFonts w:ascii="Arial" w:cs="Arial" w:eastAsia="Arial" w:hAnsi="Arial"/>
          <w:sz w:val="20"/>
          <w:szCs w:val="20"/>
        </w:rPr>
        <w:t xml:space="preserve">Thread hijacking: searches found industry descriptions only, and no academic detector with an open evaluation. The paper writes “we did not find”, never “none exists”.</w:t>
      </w:r>
    </w:p>
    <w:p>
      <w:pPr>
        <w:pStyle w:val="ListParagraph"/>
        <w:numPr>
          <w:ilvl w:val="0"/>
          <w:numId w:val="2"/>
        </w:numPr>
        <w:spacing w:after="60"/>
      </w:pPr>
      <w:r>
        <w:rPr>
          <w:rFonts w:ascii="Arial" w:cs="Arial" w:eastAsia="Arial" w:hAnsi="Arial"/>
          <w:sz w:val="20"/>
          <w:szCs w:val="20"/>
        </w:rPr>
        <w:t xml:space="preserve">Authentication: cite RFC 7208, RFC 6376 and RFC 9989 (DMARC, May 2026, which replaces RFC 7489), RFC 8601 for trusted Authentication-Results, and Chen et al. (B5) for the point that a pass verdict is not proof of the person.</w:t>
      </w:r>
    </w:p>
    <w:p>
      <w:pPr>
        <w:pStyle w:val="ListParagraph"/>
        <w:numPr>
          <w:ilvl w:val="0"/>
          <w:numId w:val="2"/>
        </w:numPr>
        <w:spacing w:after="60"/>
      </w:pPr>
      <w:r>
        <w:rPr>
          <w:rFonts w:ascii="Arial" w:cs="Arial" w:eastAsia="Arial" w:hAnsi="Arial"/>
          <w:sz w:val="20"/>
          <w:szCs w:val="20"/>
        </w:rPr>
        <w:t xml:space="preserve">Labels: the project has no human validation sample. Pangakis et al. (B15) recommend validating LLM labels against human labels task by task, so the paper cites them when stating the limitation. Gilardi et al. (B14) only alongside B15.</w:t>
      </w:r>
    </w:p>
    <w:p>
      <w:pPr>
        <w:pStyle w:val="ListParagraph"/>
        <w:numPr>
          <w:ilvl w:val="0"/>
          <w:numId w:val="2"/>
        </w:numPr>
        <w:spacing w:after="60"/>
      </w:pPr>
      <w:r>
        <w:rPr>
          <w:rFonts w:ascii="Arial" w:cs="Arial" w:eastAsia="Arial" w:hAnsi="Arial"/>
          <w:sz w:val="20"/>
          <w:szCs w:val="20"/>
        </w:rPr>
        <w:t xml:space="preserve">Evaluation framing: Arp et al. (B12) and Geirhos et al. (B13) give the vocabulary for N1 (a shortcut), the per-source reporting and the style-confound test (spurious correlations, sampling bias).</w:t>
      </w:r>
    </w:p>
    <w:p>
      <w:pPr>
        <w:pStyle w:val="Heading1"/>
        <w:spacing w:after="120" w:before="240"/>
      </w:pPr>
      <w:r>
        <w:rPr>
          <w:rFonts w:ascii="Arial" w:cs="Arial" w:eastAsia="Arial" w:hAnsi="Arial"/>
        </w:rPr>
        <w:t xml:space="preserve">Still open</w:t>
      </w:r>
    </w:p>
    <w:p>
      <w:pPr>
        <w:pStyle w:val="ListParagraph"/>
        <w:numPr>
          <w:ilvl w:val="0"/>
          <w:numId w:val="2"/>
        </w:numPr>
        <w:spacing w:after="60"/>
      </w:pPr>
      <w:r>
        <w:rPr>
          <w:rFonts w:ascii="Arial" w:cs="Arial" w:eastAsia="Arial" w:hAnsi="Arial"/>
          <w:sz w:val="20"/>
          <w:szCs w:val="20"/>
        </w:rPr>
        <w:t xml:space="preserve">Nothing is open. Every reference the paper may cite was read on a free page, in full or at the level the table states.</w:t>
      </w:r>
    </w:p>
    <w:p>
      <w:pPr>
        <w:pStyle w:val="Heading1"/>
        <w:spacing w:after="120" w:before="240"/>
      </w:pPr>
      <w:r>
        <w:rPr>
          <w:rFonts w:ascii="Arial" w:cs="Arial" w:eastAsia="Arial" w:hAnsi="Arial"/>
        </w:rPr>
        <w:t xml:space="preserve">Checked and left out</w:t>
      </w:r>
    </w:p>
    <w:p>
      <w:pPr>
        <w:pStyle w:val="ListParagraph"/>
        <w:numPr>
          <w:ilvl w:val="0"/>
          <w:numId w:val="2"/>
        </w:numPr>
        <w:spacing w:after="60"/>
      </w:pPr>
      <w:r>
        <w:rPr>
          <w:rFonts w:ascii="Arial" w:cs="Arial" w:eastAsia="Arial" w:hAnsi="Arial"/>
          <w:sz w:val="20"/>
          <w:szCs w:val="20"/>
        </w:rPr>
        <w:t xml:space="preserve">A5 Aggarwal et al. (2014): dropped at Nagasai’s decision, because no free copy could be found; nothing from it is cited, and the paper calls no work the closest prior work on link-free phishing.</w:t>
      </w:r>
    </w:p>
    <w:p>
      <w:pPr>
        <w:pStyle w:val="ListParagraph"/>
        <w:numPr>
          <w:ilvl w:val="0"/>
          <w:numId w:val="2"/>
        </w:numPr>
        <w:spacing w:after="60"/>
      </w:pPr>
      <w:r>
        <w:rPr>
          <w:rFonts w:ascii="Arial" w:cs="Arial" w:eastAsia="Arial" w:hAnsi="Arial"/>
          <w:sz w:val="20"/>
          <w:szCs w:val="20"/>
        </w:rPr>
        <w:t xml:space="preserve">The PAN 2026 shared-task overview (Bevendorff et al., arXiv:2602.09147): received by mistake in place of Pan et al.; it is about AI-text detection and watermarking and is not related.</w:t>
      </w:r>
    </w:p>
    <w:p>
      <w:pPr>
        <w:pStyle w:val="ListParagraph"/>
        <w:numPr>
          <w:ilvl w:val="0"/>
          <w:numId w:val="2"/>
        </w:numPr>
        <w:spacing w:after="60"/>
      </w:pPr>
      <w:r>
        <w:rPr>
          <w:rFonts w:ascii="Arial" w:cs="Arial" w:eastAsia="Arial" w:hAnsi="Arial"/>
          <w:sz w:val="20"/>
          <w:szCs w:val="20"/>
        </w:rPr>
        <w:t xml:space="preserve">Two Zenodo notes questioning the authenticity of some original Enron messages, linked from the CMU Enron page, which says this probably does not affect text uses. Not peer reviewed; not cited.</w:t>
      </w:r>
    </w:p>
    <w:p>
      <w:pPr>
        <w:pStyle w:val="ListParagraph"/>
        <w:numPr>
          <w:ilvl w:val="0"/>
          <w:numId w:val="2"/>
        </w:numPr>
        <w:spacing w:after="60"/>
      </w:pPr>
      <w:r>
        <w:rPr>
          <w:rFonts w:ascii="Arial" w:cs="Arial" w:eastAsia="Arial" w:hAnsi="Arial"/>
          <w:sz w:val="20"/>
          <w:szCs w:val="20"/>
        </w:rPr>
        <w:t xml:space="preserve">Vendor blog posts on thread hijacking: describe the attack but are not evidence for a paper.</w:t>
      </w:r>
    </w:p>
    <w:p>
      <w:pPr>
        <w:pStyle w:val="ListParagraph"/>
        <w:numPr>
          <w:ilvl w:val="0"/>
          <w:numId w:val="2"/>
        </w:numPr>
        <w:spacing w:after="60"/>
      </w:pPr>
      <w:r>
        <w:rPr>
          <w:rFonts w:ascii="Arial" w:cs="Arial" w:eastAsia="Arial" w:hAnsi="Arial"/>
          <w:sz w:val="20"/>
          <w:szCs w:val="20"/>
        </w:rPr>
        <w:t xml:space="preserve">OWASP Top 10, OWASP API Security Top 10, the OWASP XSS cheat sheet, CSP Level 3, RFC 9110 and Wilson (1927): implementation and statistics details a 6-page paper will not discuss. They stay in the master document.</w:t>
      </w:r>
    </w:p>
    <w:p>
      <w:pPr>
        <w:pStyle w:val="Heading1"/>
        <w:spacing w:after="120" w:before="240"/>
      </w:pPr>
      <w:r>
        <w:rPr>
          <w:rFonts w:ascii="Arial" w:cs="Arial" w:eastAsia="Arial" w:hAnsi="Arial"/>
        </w:rPr>
        <w:t xml:space="preserve">A. The master document’s references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300"/>
        <w:gridCol w:w="2300"/>
        <w:gridCol w:w="1500"/>
        <w:gridCol w:w="3400"/>
        <w:gridCol w:w="998"/>
      </w:tblGrid>
      <w:tr>
        <w:trPr>
          <w:tblHeader/>
        </w:trPr>
        <w:tc>
          <w:tcPr>
            <w:tcW w:type="dxa" w:w="6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ID</w:t>
            </w:r>
          </w:p>
        </w:tc>
        <w:tc>
          <w:tcPr>
            <w:tcW w:type="dxa" w:w="4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Citation (IEEE style)</w:t>
            </w:r>
          </w:p>
        </w:tc>
        <w:tc>
          <w:tcPr>
            <w:tcW w:type="dxa" w:w="2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DOI or link</w:t>
            </w:r>
          </w:p>
        </w:tc>
        <w:tc>
          <w:tcPr>
            <w:tcW w:type="dxa" w:w="2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How it was checked</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Status</w:t>
            </w:r>
          </w:p>
        </w:tc>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What the paper uses it for</w:t>
            </w:r>
          </w:p>
        </w:tc>
        <w:tc>
          <w:tcPr>
            <w:tcW w:type="dxa" w:w="998"/>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In paper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 Karki, F. Abri, A. Siami Namin, and K. S. Jones, “Using transformers for identification of persuasion principles in phishing emails,” in Proc. IEEE Int. Conf. Big Data, Osaka, Japan, 2022, pp. 2841–2848.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doi:10.1109/BigData55660.2022.10020452. Free copy: par.nsf.gov/servlets/purl/10482032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(NSF public-access copy).</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details corrected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Related work, tactics. BERT, RoBERTa and DistilBERT classify persuasion principles in Nazario phishing emails, body only, no headers. Labels were made automatically by sentence similarity to hand-written examples, and the final set has five principles. Do not write “Cialdini’s six principles” or “human labelled” (the Review-I slide said both).</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P. Tooher and H. S. Lallie, “A two-stage deep learning framework for AI-driven phishing email detection based on persuasion principles,” Computers, vol. 14, no. 12, Art. no. 523, 2025.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doi:10.3390/computers14120523 (open access)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article read (MDPI);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authors added (the master document had none)</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Related work, tactics. 2,995 phishing emails generated by GPT-o1, labelled with Cialdini principles by the generation design, against 1,000 real legitimate emails; DistilBERT then a small dense network; 94% accuracy and 98.4% AUC on a held-out split; text only. Generated attacks against real legitimate mail is the style confound our style-confound test measures.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A3</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T. Pan, Q. Yang, A. J. Cole, R. Wilson, and D. Woodard, “Psychology of phishing emails: Quantifying persuasion principles and simulating detection with large language models,” SSRN preprint 5436577, 2025.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doi:10.2139/ssrn.5436577 (free). A later version appeared in Expert Syst. Appl., 2026 (ScienceDirect pii S0957417426004203; not read).</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preprint read (SSRN PDF, 70 pages, sent by Nagasai; the PDF is anonymised for review). Authors and year from the Crossref record of the DOI. The journal version could not be read (ScienceDirect refuses automated reading), so the paper cites the preprint and takes every number from it.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(preprint read in full); master document description corrected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Related work, tactics; precedent for LLM-generated persuasion labels. Four open LLMs (3B to 12.2B parameters), each under three prompt styles, produced binary labels for six persuasion principles and 14 psycholinguistic scores over 340,912 processed samples from seven public corpora (the abstract says emails, but each sample is one email under one model and one prompt). Scarcity appears in 43.12% of phishing and 5.41% of legitimate samples; authority in 47.34% and 27.10%. 14 of the 15 cue pairs interact negatively. Systematic prompting raised LLM detection accuracy from 83.09% to 88.20%. Its own limits: the public corpora may not represent targeted spear-phishing or BEC, and its cue measures cannot tell a real deadline from a fabricated one. It reports no agreement measure between models, so the project’s kappa and tie-break are the project’s own.</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A4</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 Valecha, P. Mandaokar, and H. R. Rao, “Phishing email detection using persuasion cues,” IEEE Trans. Dependable Secure Comput., vol. 19, no. 2, pp. 747–756, 2022.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doi:10.1109/TDSC.2021.3118931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 (University at Buffalo research record); full text paywalled.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Related work, tactics. Gain and loss persuasion cues improve phishing-email classifiers over a cue-free baseline (F-score gains of about 5% to 20%). Content only. Cite for no more than that.</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A6</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 Paul, G. Bartlett, J. Mirkovic, and M. Freedman, “Phishing email detection using inputs from artificial intelligence,” arXiv:2405.12494, 2024.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arxiv.org/abs/2405.12494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(arXiv v1, the only version).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Corrected: the first author is Mithün Paul, so “Paul et al.”, not “Mithun et al.”</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Closest idea. 940 emails annotated with 32 warning-sign labels, including the sender’s organisation and the signature address; BERT and RoBERTa classifiers per label. The authors say a mismatch between a claim and the metadata is often a stronger signal than content, and assume “a downstream verification algorithm” for that comparison. The pipeline is such an algorithm. They do train classifiers, so do not write that they propose no detector.</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A7</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 Cidon, L. Gavish, I. Bleier, N. Korshun, M. Schweighauser, and A. Tsitkin, “High precision detection of business email compromise,” in Proc. 28th USENIX Security Symp., Santa Clara, CA, USA, 2019, pp. 1291–1307.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usenix.org/conference/usenixsecurity19/presentation/cidon</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the master document’s description is wrong</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Closest BEC detector (BEC-Guard). A header-based impersonation classifier (sender-name and address history, Reply-To) runs first and gates a text classifier (TF-IDF, KNN) and a link classifier; an email is quarantined if either content classifier flags it. It needs an organisation’s historical mail through cloud APIs, strips names and signatures from the body before the text classifier, and leaves account takeover out of scope. It is a gated pipeline, not parallel score fusion.</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A8</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G. Ho et al., “Detecting and characterizing lateral phishing at scale,” in Proc. 28th USENIX Security Symp., Santa Clara, CA, USA, 2019, pp. 1273–1290.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usenix.org/conference/usenixsecurity19/presentation/ho</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Phishing from compromised enterprise accounts: 113 million employee-sent emails from 92 organisations. The detector targets emails that carry a malicious URL and uses no reply headers; the authors say their data likely underestimates non-URL attacks. Supports the payload-free and N2 gaps.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A9</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L. Ai et al., “Defending against social engineering attacks in the age of LLMs,” in Proc. Conf. Empirical Methods Natural Lang. Process. (EMNLP), Miami, FL, USA, 2024, pp. 12880–12902.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doi:10.18653/v1/2024.emnlp-main.716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ACL Anthology record; full paper read (arXiv v2).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venue added (the master document cites arXiv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Conversation-level detection (ConvoSentinel) of chat-based social engineering on 1,400 LLM-generated, LinkedIn-style conversations; message, snippet and conversation levels; no email headers or thread headers.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A10</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J. Piskorski, N. Stefanovitch, G. Da San Martino, and P. Nakov, “SemEval-2023 Task 3: Detecting the category, the framing, and the persuasion techniques in online news in a multi-lingual setup,” in Proc. 17th Int. Workshop Semantic Eval. (SemEval), Toronto, ON, Canada, 2023, pp. 2343–2361.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doi:10.18653/v1/2023.semeval-1.317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ACL Anthology record and abstract.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23 persuasion techniques in news, nine languages. SemEval pretraining was not run, so cite only if the taxonomy discussion needs it.</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A11</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 Al-Subaiey, M. Al-Thani, N. A. Alam, K. F. Antora, A. Khandakar, and S. M. A. U. Zaman, “Novel interpretable and robust web-based AI platform for phishing email detection,” Comput. Electr. Eng., vol. 120, Art. no. 109625, 2024.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doi:10.1016/j.compeleceng.2024.109625. Free: arXiv:2405.11619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read;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source of the merged Kaggle corpus. Binary phishing detection (F1 0.99) in a web application with explanations; no tactics, no claims, no header checks.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A12</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 B. Cialdini, Influence: The Psychology of Persuasion, rev. ed. Harper Business, 2006.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ISBN 978-0-06-124189-5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Bibliographic record (bookseller listings). Book not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Record 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Origin of five of the seven tactic labels. Cite only for the principle names; A25 can carry the taxonomy instead.</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A13</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 Stajano and P. Wilson, “Understanding scam victims: Seven principles for systems security,” Commun. ACM, vol. 54, no. 3, pp. 70–75, 2011.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doi:10.1145/1897852.1897872. Free: Cambridge technical report UCAM-CL-TR-754 (2009)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Record from OpenAlex; Cambridge report page and the authors’ page (the seven principles, including Time).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Source of the urgency tactic (the Time principle), kept apart from scarcity.</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A14</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Federal Bureau of Investigation, Internet Crime Complaint Center, “2025 IC3 annual report.” Accessed: Oct. 12, 2026. [Online]. Available: https://www.ic3.gov/AnnualReport/Reports/2025_IC3Report.pdf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ic3.gov (PDF)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Report read: crime-type tables by complaint count and by loss. The 2023 and 2024 reports were also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(the report prints no release date, so the citation carries the access date)</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Introduction: 24,768 BEC complaints and $3,046,598,558 in reported losses in 2025.</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A15</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Verizon, “2023 data breach investigations report,” 2023. Accessed: Oct. 12, 2026. [Online]. Available: https://www.verizon.com/business/resources/reports/dbir/</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verizon.com (PDF)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Report read (pretexting and BEC passages).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Review-I wording corrected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BEC, which the report treats as pretexting, almost doubled across its incident set; pretexting became more common than phishing within social engineering incidents. Not “more than doubled”.</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A16</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Verizon, “2026 data breach investigations report,” 2026. Accessed: Oct. 12, 2026. [Online]. Available: https://www.verizon.com/business/resources/reports/dbir/</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verizon.com (PDF)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Report read up to the start of its social engineering section (the text extraction stopped there).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earlier second-hand wording dropped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Introduction: pretexting defined as building a trusted relationship through invented scenarios, by voice, email or text, with the attacker taking part in the conversation or email thread; pretexting was the initial access vector in 6% of breaches.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A17</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 Klimt and Y. Yang, “The Enron corpus: A new dataset for email classification research,” in Machine Learning: ECML 2004. Berlin, Germany: Springer, 2004, pp. 217–226.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doi:10.1007/978-3-540-30115-8_22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Record and DOI from the ML Anthology page; dataset page at CMU read. The series volume is left out: the Springer page was rate-limited and no other free page states it.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(record and DOI)</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the Enron corpus (Kaggle Enron bodies and raw Enron threads for N2).</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A18</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J. Nazario, “Phishing corpus.” Accessed: Oct. 12, 2026. [Online]. Available: https://monkey.org/~jose/phishing/</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monkey.org/~jose/phishing/</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Directory page read (mbox files 2005 to 2018 and yearly files 2015 to 2025).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real phishing with headers.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A19</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Apache SpamAssassin Project, “SpamAssassin public corpus.” Accessed: Oct. 12, 2026. [Online]. Available: https://spamassassin.apache.org/old/publiccorpus/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spamassassin.apache.org/old/publiccorpus/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Directory page read (the five archives used are listed).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ham and spam with headers (2002 to 2005).</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A20</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rf-peixoto, “phishing_pot: A collection of real phishing samples collected via honey pots,” GitHub repository. Accessed: Oct. 12, 2026. [Online]. Available: https://github.com/rf-peixoto/phishing_pot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github.com/rf-peixoto/phishing_pot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Repository page, README and LICENSE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(licence CC BY-NC 4.0)</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modern phishing with authentication headers. Never redistributed.</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A21</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Apache Software Foundation, “users@kafka.apache.org and users@tomcat.apache.org mailing-list archives.” Accessed: Oct. 12, 2026. [Online]. Available: https://lists.apache.org/</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lists.apache.org</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Archive interface reachable; content as downloaded by src/data/fetch_apache.py (Oct 2024 to Sep 2026).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modern legitimate mail with authentication headers, and real threads with reply IDs for N2.</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A22</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N. A. Alam, “Phishing email dataset,” Kaggle. Accessed: Oct. 12, 2026. [Online]. Available: https://www.kaggle.com/datasets/naserabdullahalam/phishing-email-dataset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kaggle.com (dataset page)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Kaggle page read (title, and the description “Phish No More: The Enron, Ling, CEAS, Nazario, Nigerian &amp; SpamAssassin Datasets”); also linked from A11’s arXiv page. The owner is N. A. Alam, a co-author of A11.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 the merged files used (CEAS-08, Enron, Ling, Nigerian Fraud). A11 can stand for it.</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A23</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 Kucherawy, “Message header field for indicating message authentication status,” RFC 8601, May 2019, doi:10.17487/RFC8601.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rfc-editor.org/rfc/rfc8601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Standard read (Section 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Method: only Authentication-Results headers added inside the receiving organisation are trusted; Section 5 requires removing copies that claim to come from inside.</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A24</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 T. Ribeiro, S. Singh, and C. Guestrin, “‘Why should I trust you?’: Explaining the predictions of any classifier,” in Proc. 22nd ACM SIGKDD Int. Conf. Knowl. Discovery Data Mining, 2016, pp. 1135–1144.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doi:10.1145/2939672.2939778. Free: arXiv:1602.04938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read;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Method: LIME highlights for the tactic classifier.</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A25</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 Ferreira, L. Coventry, and G. Lenzini, “Principles of persuasion in social engineering and their use in phishing,” in Human Aspects of Information Security, Privacy, and Trust (Lecture Notes in Computer Science, vol. 9190), T. Tryfonas and I. Askoxylakis, Eds. Cham, Switzerland: Springer, 2015, pp. 36–47.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doi:10.1007/978-3-319-20376-8_4. Free: nrl.northumbria.ac.uk/id/eprint/24158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Repository record and abstract; Springer chapter page;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Corrected: the master document lists “Ferreira and Teles, PPSE framework”, which was not found; this verified paper proposes the merged list of principles</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Related work, tactics: Cialdini’s principles, Gragg’s triggers and Stajano and Wilson’s principles merged into one list and mapped onto phishing emails, where they appear in combinations.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A26</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H. Shi et al., “Lumen: A machine learning framework to expose influence cues in texts,” Front. Comput. Sci., vol. 4, Art. no. 929515, 2022.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doi:10.3389/fcomp.2022.929515. Free: arXiv:2107.10655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read; journal record from the Frontiers article page (published 31 Aug. 2022).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Influence cues (persuasion, framing, emotion and others) in about 3,000 texts of phishing and disinformation.</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A27</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G. Da San Martino, S. Yu, A. Barrón-Cedeño, R. Petrov, and P. Nakov, “Fine-grained analysis of propaganda in news articles,” in Proc. EMNLP-IJCNLP, Hong Kong, China, 2019, pp. 5636–5646.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doi:10.18653/v1/D19-1565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ACL Anthology record and abstract.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18 propaganda techniques annotated at fragment level in news. Background only.</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A28</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G. Stringhini and O. Thonnard, “That ain’t you: Blocking spearphishing through behavioral modelling,” in Detection of Intrusions and Malware, and Vulnerability Assessment (DIMVA) (Lecture Notes in Computer Science, vol. 9148), M. Almgren, V. Gulisano, and F. Maggi, Eds. Cham, Switzerland: Springer, 2015, pp. 78–97.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doi:10.1007/978-3-319-20550-2_5. Free: arXiv:1410.6629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(arXiv); published record from the UCL repository and the Springer chapter page.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Sender-side profiling (IdentityMailer) of writing, composition and interaction habits to catch mail from compromised accounts; needs about 1,000 sent emails per user; about 90% of forged emails blocked at that history. A per-sender model, not a check of claims against evidence.</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A29</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 Duman, K. Kalkan-Cakmakci, M. Egele, W. Robertson, and E. Kirda, “EmailProfiler: Spearphishing filtering with header and stylometric features of emails,” in Proc. IEEE 40th Annu. Comput. Softw. Appl. Conf. (COMPSAC), vol. 1, 2016, pp. 408–416.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doi:10.1109/COMPSAC.2016.105. Free: diverge.tech/publications/compsac-2016-email_profiler.pdf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(author copy); record from the Boğaziçi University listing and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Recipient-side sender profiles from header and 199 stylometric features (20 volunteers). One feature vector per email; no check of a claim in the body against a header field.</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A30</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 Das, S. Baki, A. El Aassal, R. Verma, and A. Dunbar, “SoK: A comprehensive reexamination of phishing research from the security perspective,” IEEE Commun. Surveys Tuts., vol. 22, no. 1, pp. 671–708, 2020.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doi:10.1109/COMST.2019.2957750. Free: arXiv:1911.00953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published record from the author’s page and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Dataset quality and the base-rate fallacy as open problems of phishing-detection research.</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bl>
    <w:p>
      <w:pPr>
        <w:spacing w:after="200"/>
      </w:pPr>
    </w:p>
    <w:p>
      <w:pPr>
        <w:pStyle w:val="Heading1"/>
        <w:spacing w:after="120" w:before="240"/>
      </w:pPr>
      <w:r>
        <w:rPr>
          <w:rFonts w:ascii="Arial" w:cs="Arial" w:eastAsia="Arial" w:hAnsi="Arial"/>
        </w:rPr>
        <w:t xml:space="preserve">B. New references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300"/>
        <w:gridCol w:w="2300"/>
        <w:gridCol w:w="1500"/>
        <w:gridCol w:w="3400"/>
        <w:gridCol w:w="998"/>
      </w:tblGrid>
      <w:tr>
        <w:trPr>
          <w:tblHeader/>
        </w:trPr>
        <w:tc>
          <w:tcPr>
            <w:tcW w:type="dxa" w:w="6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ID</w:t>
            </w:r>
          </w:p>
        </w:tc>
        <w:tc>
          <w:tcPr>
            <w:tcW w:type="dxa" w:w="4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Citation (IEEE style)</w:t>
            </w:r>
          </w:p>
        </w:tc>
        <w:tc>
          <w:tcPr>
            <w:tcW w:type="dxa" w:w="2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DOI or link</w:t>
            </w:r>
          </w:p>
        </w:tc>
        <w:tc>
          <w:tcPr>
            <w:tcW w:type="dxa" w:w="2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How it was checked</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Status</w:t>
            </w:r>
          </w:p>
        </w:tc>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What the paper uses it for</w:t>
            </w:r>
          </w:p>
        </w:tc>
        <w:tc>
          <w:tcPr>
            <w:tcW w:type="dxa" w:w="998"/>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rFonts w:ascii="Arial" w:cs="Arial" w:eastAsia="Arial" w:hAnsi="Arial"/>
                <w:b/>
                <w:bCs/>
                <w:sz w:val="15"/>
                <w:szCs w:val="15"/>
              </w:rPr>
              <w:t xml:space="preserve">In paper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 van der Heijden and L. Allodi, “Cognitive triaging of phishing attacks,” in Proc. 28th USENIX Security Symp., Santa Clara, CA, USA, 2019, pp. 1309–1326.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usenix.org/conference/usenixsecurity19/presentation/van-der-heijden</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Cognitive vulnerability triggers in phishing emails used to rank attacks by expected success, on data from a large European financial organisation.</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B2</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G. Ho, A. Sharma, M. Javed, V. Paxson, and D. Wagner, “Detecting credential spearphishing in enterprise settings,” in Proc. 26th USENIX Security Symp., Vancouver, BC, Canada, 2017, pp. 469–485.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usenix.org/conference/usenixsecurity17/technical-sessions/presentation/ho</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Anomaly ranking of credential spearphishing over 370 million emails from one enterprise; found known and two unknown successful campaigns.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B3</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H. Gascon, S. Ullrich, B. Stritter, and K. Rieck, “Reading between the lines: Content-agnostic detection of spear-phishing emails,” in Research in Attacks, Intrusions, and Defenses (RAID) (Lecture Notes in Computer Science, vol. 11050). Cham, Switzerland: Springer, 2018, pp. 69–91.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doi:10.1007/978-3-030-00470-5_4. Free: vamos.mlsec.org/docs/2018-raid.pdf</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(author copy); record from OpenAlex; volume from the Springer chapter page.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Sender profiles from behaviour, composition and transport traits of the headers, with no body text; 760,603 emails from 92 mailboxes. The authors state that a hacked account cannot be detected with these features. Motivates N2.</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B4</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H. Hu and G. Wang, “End-to-end measurements of email spoofing attacks,” in Proc. 27th USENIX Security Symp., Baltimore, MD, USA, 2018, pp. 1095–1112.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usenix.org/conference/usenixsecurity18/presentation/hu</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35 providers measured: forged emails still reach inboxes and most providers show no warning; only 9 of 35 show security cues.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B5</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J. Chen, V. Paxson, and J. Jiang, “Composition kills: A case study of email sender authentication,” in Proc. 29th USENIX Security Symp., 2020, pp. 2183–2199.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usenix.org/conference/usenixsecurity20/presentation/chen-jianjun</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18 kinds of inconsistency between mail servers and clients let attackers bypass sender authentication; all 10 providers and 19 clients tested were affected. Supports the point that a pass verdict is not proof of the person.</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B6</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K. Shen et al., “Weak links in authentication chains: A large-scale analysis of email sender spoofing attacks,” in Proc. 30th USENIX Security Symp., 2021, pp. 3201–3217.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usenix.org/conference/usenixsecurity21/presentation/shen-kaiwen</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30 services and 23 clients tested; all vulnerable to at least one new spoofing attack that bypasses SPF, DKIM, DMARC or the interface.</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B7</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 Kitterman, “Sender Policy Framework (SPF) for authorizing use of domains in email, version 1,” RFC 7208, Apr. 2014, doi:10.17487/RFC7208.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rfc-editor.org/info/rfc7208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Standard record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(Proposed Standard, updated, not obsoleted)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Background: what SPF checks.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B8</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 Crocker, T. Hansen, and M. Kucherawy, Eds., “DomainKeys Identified Mail (DKIM) signatures,” RFC 6376, Sep. 2011, doi:10.17487/RFC6376.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rfc-editor.org/info/rfc6376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Standard record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(Internet Standard, STD 76)</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Background: what DKIM checks.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B9</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T. Herr and J. Levine, Eds., “Domain-based message authentication, reporting, and conformance (DMARC),” RFC 9989, May 2026, doi:10.17487/RFC9989.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rfc-editor.org/info/rfc9989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Standard record read; RFC 7489’s page says it is obsoleted by RFCs 9989 to 9991.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(Proposed Standard)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Background: DMARC alignment of SPF or DKIM with the From domain. Cite RFC 9989, not the obsolete RFC 7489.</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B10</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J. Thorne, A. Vlachos, C. Christodoulopoulos, and A. Mittal, “FEVER: A large-scale dataset for fact extraction and VERification,” in Proc. NAACL-HLT, vol. 1, New Orleans, LA, USA, 2018, pp. 809–819.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doi:10.18653/v1/N18-1074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ACL Anthology record and abstract.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Claims labelled Supported, Refuted or NotEnoughInfo with evidence sentences. Optional support for the three-valued ledger.</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B11</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Z. Guo, M. Schlichtkrull, and A. Vlachos, “A survey on automated fact-checking,” Trans. Assoc. Comput. Linguistics, vol. 10, pp. 178–206, 2022.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doi:10.1162/tacl_a_00454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ACL Anthology record; framework section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The fact-checking framework: claim detection, evidence retrieval and claim verification (verdict prediction and justification). The pipeline applies this framework with protocol metadata and thread history as the evidence.</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B12</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 Arp et al., “Dos and don’ts of machine learning in computer security,” in Proc. 31st USENIX Security Symp., Boston, MA, USA, 2022, pp. 3971–3988.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usenix.org/conference/usenixsecurity22/presentation/arp</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Pitfall list and definitions read in the paper.</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Evaluation: ten pitfalls, including sampling bias, spurious correlations, data snooping and inappropriate baselines; all 30 papers they examined had at least three. Frames the freeze record, per-source reporting and the style-confound test.</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B13</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R. Geirhos et al., “Shortcut learning in deep neural networks,” Nature Mach. Intell., vol. 2, no. 11, pp. 665–673, 2020.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doi:10.1038/s42256-020-00257-z. Free: arXiv:2004.07780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N1: shortcuts are decision rules that do well on benchmarks and fail in harder conditions; link-reading is such a shortcut for phishing detectors.</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B14</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 Gilardi, M. Alizadeh, and M. Kubli, “ChatGPT outperforms crowd workers for text-annotation tasks,” Proc. Natl. Acad. Sci. USA, vol. 120, no. 30, Art. no. e2305016120, 2023.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doi:10.1073/pnas.2305016120. Free: arXiv:2303.15056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 abstract; record from OpenAlex.</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LLM annotation can match or beat crowd workers on some tasks (2,382 tweets, five tasks). Cite with B15, never alone.</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B15</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N. Pangakis, S. Wolken, and N. Fasching, “Automated annotation with generative AI requires validation,” arXiv:2306.00176, 2023.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arxiv.org/abs/2306.00176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Limitation: GPT-4 annotation quality varied by dataset and task across 27 tasks; the authors recommend validating LLM labels against human labels task by task. The project has no human sample, and the paper says so.</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B16</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 Sanh, L. Debut, J. Chaumond, and T. Wolf, “DistilBERT, a distilled version of BERT: Smaller, faster, cheaper and lighter,” arXiv:1910.01108, 2019.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arxiv.org/abs/1910.01108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Method: the tactic classifier and the N1 models (about 40% smaller and 60% faster than BERT, keeping about 97% of its language understanding).</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B17</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T. Koide, N. Fukushi, H. Nakano, and D. Chiba, “ChatSpamDetector: Leveraging large language models for effective phishing email detection,” arXiv:2402.18093, 2024.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arxiv.org/abs/2402.18093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Full paper read (arXiv v2). No published version found.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Closest LLM approach. GPT-4 is prompted to look for brand impersonation and header spoofing signs and explain its verdict; 99.70% accuracy on 1,010 phishing_pot emails and 1,000 ham. Emails without URLs were excluded; one GPT-4 call per email (12.53 s on average, $265.80 for 2,010 emails); run-to-run variation not measured. So the paper cannot claim to be first to compare a claimed sender with the headers; it differs by typed, rule-based checks with recorded reasons, no LLM at run time, and evaluation on link-free and redacted text.</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Core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B18</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F. Heiding, B. Schneier, A. Vishwanath, J. Bernstein, and P. S. Park, “Devising and detecting phishing emails using large language models,” IEEE Access, vol. 12, pp. 42131–42146, 2024.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doi:10.1109/ACCESS.2024.3375882 (open access)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 (DOAJ record).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LLM-written phishing reached click rates of 30% to 44% in a 112-person study; LLMs detected phishing intent well. Introduction context only.</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B19</w:t>
            </w:r>
          </w:p>
        </w:tc>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Y. O. Adjei and F. Ayivor, “Semantic superiority vs. forensic efficiency: A comparative analysis of deep learning and psycholinguistics for business email compromise detection,” arXiv:2511.20944, 2025.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arxiv.org/abs/2511.20944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Abstract read (v4).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Verified, abstract only</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DistilBERT reaches AUC 1.0000 on 7,990 emails whose fraud side is AI-generated. An example of near-perfect scores where generated attacks meet real legitimate mail.</w:t>
            </w:r>
          </w:p>
        </w:tc>
        <w:tc>
          <w:tcPr>
            <w:tcW w:type="dxa" w:w="99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5"/>
                <w:szCs w:val="15"/>
              </w:rPr>
              <w:t xml:space="preserve">Optional</w:t>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Literature source table, 12 October 2026.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864"/>
      <w:sz w:val="36"/>
      <w:szCs w:val="36"/>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2026-10-12T17:42:21.978Z</dcterms:created>
  <dcterms:modified xsi:type="dcterms:W3CDTF">2026-10-12T17:42:21.989Z</dcterms:modified>
</cp:coreProperties>
</file>

<file path=docProps/custom.xml><?xml version="1.0" encoding="utf-8"?>
<Properties xmlns="http://schemas.openxmlformats.org/officeDocument/2006/custom-properties" xmlns:vt="http://schemas.openxmlformats.org/officeDocument/2006/docPropsVTypes"/>
</file>