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rPr>
        <w:t xml:space="preserve">Literature notes: the reading pass</w:t>
      </w:r>
    </w:p>
    <w:p>
      <w:pPr>
        <w:spacing w:after="120"/>
      </w:pPr>
      <w:r>
        <w:rPr>
          <w:rFonts w:ascii="Arial" w:cs="Arial" w:eastAsia="Arial" w:hAnsi="Arial"/>
          <w:sz w:val="21"/>
          <w:szCs w:val="21"/>
        </w:rPr>
        <w:t xml:space="preserve">Companion to the source table. The source table says which references exist and are correct. These notes say what the papers the paper argues against actually do, based on reading their methods, and give the sentence the paper will use for each. Updated 28 September 2026. Venue: BAICONF 2026, IIM Bangalore.</w:t>
      </w:r>
    </w:p>
    <w:p>
      <w:pPr>
        <w:spacing w:after="120"/>
      </w:pPr>
      <w:r>
        <w:rPr>
          <w:rFonts w:ascii="Arial" w:cs="Arial" w:eastAsia="Arial" w:hAnsi="Arial"/>
          <w:sz w:val="21"/>
          <w:szCs w:val="21"/>
        </w:rPr>
        <w:t xml:space="preserve">Reading depth is stated for every entry. "Full paper" means methods and results were read. Where only the abstract was read, the paper will claim nothing beyond the abstract.</w:t>
      </w:r>
    </w:p>
    <w:p>
      <w:pPr>
        <w:pStyle w:val="Heading1"/>
        <w:spacing w:after="120" w:before="240"/>
      </w:pPr>
      <w:r>
        <w:rPr>
          <w:rFonts w:ascii="Arial" w:cs="Arial" w:eastAsia="Arial" w:hAnsi="Arial"/>
        </w:rPr>
        <w:t xml:space="preserve">1. Close neighbours, read in depth</w:t>
      </w:r>
    </w:p>
    <w:p>
      <w:pPr>
        <w:pStyle w:val="Heading2"/>
        <w:spacing w:after="100" w:before="240"/>
      </w:pPr>
      <w:r>
        <w:rPr>
          <w:rFonts w:ascii="Arial" w:cs="Arial" w:eastAsia="Arial" w:hAnsi="Arial"/>
        </w:rPr>
        <w:t xml:space="preserve">PAL: Program-aided language models (Gao et al., ICML 2023) [N1]</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Few-shot prompts make the model write a Python program as its reasoning. An interpreter runs the program and its output is the answer. The model writes every variable and constant itself, copied from the question.</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72.0% on GSM8K against 65.6% for chain-of-thought with the same model. On GSM-HARD, where numbers are enlarged, chain-of-thought falls to about 20 to 23% while PAL stays near 61%. In 16 of 25 analysed pairs the model's reasoning was nearly identical for small and large numbers, so the failure was the arithmetic itself. When the model had to simulate running its own program, accuracy fell to 23.2%. The authors say the answer is accurate "given the correctly predicted programmatic steps".</w:t>
      </w:r>
    </w:p>
    <w:p>
      <w:pPr>
        <w:spacing w:after="100"/>
      </w:pPr>
      <w:r>
        <w:rPr>
          <w:rFonts w:ascii="Arial" w:cs="Arial" w:eastAsia="Arial" w:hAnsi="Arial"/>
          <w:b/>
          <w:bCs/>
          <w:sz w:val="21"/>
          <w:szCs w:val="21"/>
        </w:rPr>
        <w:t xml:space="preserve">How we differ: </w:t>
      </w:r>
      <w:r>
        <w:rPr>
          <w:rFonts w:ascii="Arial" w:cs="Arial" w:eastAsia="Arial" w:hAnsi="Arial"/>
          <w:sz w:val="21"/>
          <w:szCs w:val="21"/>
        </w:rPr>
        <w:t xml:space="preserve">In PAL the model authors the program and all its inputs, and nothing checks the numbers it copied or the final wording. In ours the programs are fixed, tested kernel functions, personal inputs come from stored data, the model picks the function and a few bounded arguments, and a guard checks the reply.</w:t>
      </w:r>
    </w:p>
    <w:p>
      <w:pPr>
        <w:spacing w:after="100"/>
      </w:pPr>
      <w:r>
        <w:rPr>
          <w:rFonts w:ascii="Arial" w:cs="Arial" w:eastAsia="Arial" w:hAnsi="Arial"/>
          <w:b/>
          <w:bCs/>
          <w:sz w:val="21"/>
          <w:szCs w:val="21"/>
        </w:rPr>
        <w:t xml:space="preserve">Sentence for the paper: </w:t>
      </w:r>
      <w:r>
        <w:rPr>
          <w:rFonts w:ascii="Arial" w:cs="Arial" w:eastAsia="Arial" w:hAnsi="Arial"/>
          <w:sz w:val="21"/>
          <w:szCs w:val="21"/>
        </w:rPr>
        <w:t xml:space="preserve"/>
      </w:r>
    </w:p>
    <w:p>
      <w:pPr>
        <w:spacing w:after="160"/>
        <w:ind w:left="400"/>
      </w:pPr>
      <w:r>
        <w:rPr>
          <w:rFonts w:ascii="Arial" w:cs="Arial" w:eastAsia="Arial" w:hAnsi="Arial"/>
          <w:i/>
          <w:iCs/>
          <w:sz w:val="21"/>
          <w:szCs w:val="21"/>
        </w:rPr>
        <w:t xml:space="preserve">PAL and Program of Thoughts move arithmetic out of the model by having it write a program that an interpreter executes; when the numbers in a problem are enlarged, chain-of-thought accuracy collapses while PAL's holds, and the authors trace most failures to arithmetic rather than reasoning [N1, N2]. In both, the model still writes the program and its constants. Our design goes one step further: the computations are fixed in advance and read their inputs from stored data, so the model chooses a calculation but never supplies the quantities it operates on.</w:t>
      </w:r>
    </w:p>
    <w:p>
      <w:pPr>
        <w:pStyle w:val="Heading2"/>
        <w:spacing w:after="100" w:before="240"/>
      </w:pPr>
      <w:r>
        <w:rPr>
          <w:rFonts w:ascii="Arial" w:cs="Arial" w:eastAsia="Arial" w:hAnsi="Arial"/>
        </w:rPr>
        <w:t xml:space="preserve">Program of Thoughts (Chen et al., TMLR 2023) [N2]</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Same family as PAL: the model writes a Python program (SymPy allowed) and an interpreter executes it. Evaluated on five maths datasets and three financial question-answering datasets.</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About 15% average gain over chain-of-thought on the financial datasets, about 20% on FinQA and ConvFinQA, which the authors attribute to models miscalculating large numbers. In the error analysis on TAT-QA, 47% of 198 failures were value-grounding errors, where the model put the wrong number into a variable, and 33% were logic errors. They note that running model-written code is risky and block extra imports.</w:t>
      </w:r>
    </w:p>
    <w:p>
      <w:pPr>
        <w:spacing w:after="100"/>
      </w:pPr>
      <w:r>
        <w:rPr>
          <w:rFonts w:ascii="Arial" w:cs="Arial" w:eastAsia="Arial" w:hAnsi="Arial"/>
          <w:b/>
          <w:bCs/>
          <w:sz w:val="21"/>
          <w:szCs w:val="21"/>
        </w:rPr>
        <w:t xml:space="preserve">How we differ: </w:t>
      </w:r>
      <w:r>
        <w:rPr>
          <w:rFonts w:ascii="Arial" w:cs="Arial" w:eastAsia="Arial" w:hAnsi="Arial"/>
          <w:sz w:val="21"/>
          <w:szCs w:val="21"/>
        </w:rPr>
        <w:t xml:space="preserve">Value grounding is exactly the step we remove from the model: our tools read the user's figures from stored data. Nothing model-written is executed.</w:t>
      </w:r>
    </w:p>
    <w:p>
      <w:pPr>
        <w:spacing w:after="100"/>
      </w:pPr>
      <w:r>
        <w:rPr>
          <w:rFonts w:ascii="Arial" w:cs="Arial" w:eastAsia="Arial" w:hAnsi="Arial"/>
          <w:b/>
          <w:bCs/>
          <w:sz w:val="21"/>
          <w:szCs w:val="21"/>
        </w:rPr>
        <w:t xml:space="preserve">Sentence for the paper: </w:t>
      </w:r>
      <w:r>
        <w:rPr>
          <w:rFonts w:ascii="Arial" w:cs="Arial" w:eastAsia="Arial" w:hAnsi="Arial"/>
          <w:sz w:val="21"/>
          <w:szCs w:val="21"/>
        </w:rPr>
        <w:t xml:space="preserve"/>
      </w:r>
    </w:p>
    <w:p>
      <w:pPr>
        <w:spacing w:after="160"/>
        <w:ind w:left="400"/>
      </w:pPr>
      <w:r>
        <w:rPr>
          <w:rFonts w:ascii="Arial" w:cs="Arial" w:eastAsia="Arial" w:hAnsi="Arial"/>
          <w:i/>
          <w:iCs/>
          <w:sz w:val="21"/>
          <w:szCs w:val="21"/>
        </w:rPr>
        <w:t xml:space="preserve">In Program of Thoughts, most remaining errors on financial question answering were value-grounding errors, where the model placed the wrong number into its program [N2]. Our tools therefore take personal figures only from stored data, removing that step from the model.</w:t>
      </w:r>
    </w:p>
    <w:p>
      <w:pPr>
        <w:pStyle w:val="Heading2"/>
        <w:spacing w:after="100" w:before="240"/>
      </w:pPr>
      <w:r>
        <w:rPr>
          <w:rFonts w:ascii="Arial" w:cs="Arial" w:eastAsia="Arial" w:hAnsi="Arial"/>
        </w:rPr>
        <w:t xml:space="preserve">AIOS: LLM agent operating system (Mei et al., COLM 2025) [N4]</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 arXiv version 2 (2024). The COLM version may differ in detail.</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Three layers: application, kernel and hardware. An LLM kernel with an agent scheduler, context manager, memory manager, storage manager, tool manager and access manager (privilege groups per agent, audit logs). The model is described as the "brain" of the operating system.</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Identical outputs when agents run concurrently or alone at temperature 0; scheduling balances waiting and turnaround time across agents. No claims about the correctness of figures in outputs.</w:t>
      </w:r>
    </w:p>
    <w:p>
      <w:pPr>
        <w:spacing w:after="100"/>
      </w:pPr>
      <w:r>
        <w:rPr>
          <w:rFonts w:ascii="Arial" w:cs="Arial" w:eastAsia="Arial" w:hAnsi="Arial"/>
          <w:b/>
          <w:bCs/>
          <w:sz w:val="21"/>
          <w:szCs w:val="21"/>
        </w:rPr>
        <w:t xml:space="preserve">How we differ: </w:t>
      </w:r>
      <w:r>
        <w:rPr>
          <w:rFonts w:ascii="Arial" w:cs="Arial" w:eastAsia="Arial" w:hAnsi="Arial"/>
          <w:sz w:val="21"/>
          <w:szCs w:val="21"/>
        </w:rPr>
        <w:t xml:space="preserve">Same analogy and some shared module ideas: memory manager, tool management, access control, audit log. The purpose is reversed. AIOS manages the model's resources; our kernel limits the model's authority. Our access control is agent-to-tool, not agent-to-agent memory, and the model sits outside the kernel.</w:t>
      </w:r>
    </w:p>
    <w:p>
      <w:pPr>
        <w:spacing w:after="100"/>
      </w:pPr>
      <w:r>
        <w:rPr>
          <w:rFonts w:ascii="Arial" w:cs="Arial" w:eastAsia="Arial" w:hAnsi="Arial"/>
          <w:b/>
          <w:bCs/>
          <w:sz w:val="21"/>
          <w:szCs w:val="21"/>
        </w:rPr>
        <w:t xml:space="preserve">Sentence for the paper: </w:t>
      </w:r>
      <w:r>
        <w:rPr>
          <w:rFonts w:ascii="Arial" w:cs="Arial" w:eastAsia="Arial" w:hAnsi="Arial"/>
          <w:sz w:val="21"/>
          <w:szCs w:val="21"/>
        </w:rPr>
        <w:t xml:space="preserve"/>
      </w:r>
    </w:p>
    <w:p>
      <w:pPr>
        <w:spacing w:after="160"/>
        <w:ind w:left="400"/>
      </w:pPr>
      <w:r>
        <w:rPr>
          <w:rFonts w:ascii="Arial" w:cs="Arial" w:eastAsia="Arial" w:hAnsi="Arial"/>
          <w:i/>
          <w:iCs/>
          <w:sz w:val="21"/>
          <w:szCs w:val="21"/>
        </w:rPr>
        <w:t xml:space="preserve">AIOS also organises agents around an operating-system kernel with memory, tool and access managers and audit logs, but its kernel schedules and isolates the model's resources [N4]. Ours reverses the relationship: the model sits outside the kernel, and the kernel owns the arithmetic and decides which calculations each agent may request.</w:t>
      </w:r>
    </w:p>
    <w:p>
      <w:pPr>
        <w:pStyle w:val="Heading2"/>
        <w:spacing w:after="100" w:before="240"/>
      </w:pPr>
      <w:r>
        <w:rPr>
          <w:rFonts w:ascii="Arial" w:cs="Arial" w:eastAsia="Arial" w:hAnsi="Arial"/>
        </w:rPr>
        <w:t xml:space="preserve">TaxCalcBench (Bock et al., arXiv 2025) [N13]</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51 synthetic US federal returns for tax year 2024, each with complete inputs and the correct output from a deterministic tax engine. Four frontier models, five thinking budgets, four runs each.</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Best model 32.35% of returns exactly right; 51.96% if every line may be off by up to $5. Per-line accuracy of 77 to 81%, so one mistake spreads through the return. Errors came from using bracket percentages instead of the official tax table (15 to 20% of cases), outright calculation errors, wrong lines and wrong eligibility. Answers varied across repeated runs. The authors conclude that deterministic tax engines remain necessary.</w:t>
      </w:r>
    </w:p>
    <w:p>
      <w:pPr>
        <w:spacing w:after="100"/>
      </w:pPr>
      <w:r>
        <w:rPr>
          <w:rFonts w:ascii="Arial" w:cs="Arial" w:eastAsia="Arial" w:hAnsi="Arial"/>
          <w:b/>
          <w:bCs/>
          <w:sz w:val="21"/>
          <w:szCs w:val="21"/>
        </w:rPr>
        <w:t xml:space="preserve">How we differ: </w:t>
      </w:r>
      <w:r>
        <w:rPr>
          <w:rFonts w:ascii="Arial" w:cs="Arial" w:eastAsia="Arial" w:hAnsi="Arial"/>
          <w:sz w:val="21"/>
          <w:szCs w:val="21"/>
        </w:rPr>
        <w:t xml:space="preserve">It is the clearest published case for our split, and it measures the same run-to-run consistency our evaluation measures. Limits: US law, industry authors, arXiv only.</w:t>
      </w:r>
    </w:p>
    <w:p>
      <w:pPr>
        <w:spacing w:after="100"/>
      </w:pPr>
      <w:r>
        <w:rPr>
          <w:rFonts w:ascii="Arial" w:cs="Arial" w:eastAsia="Arial" w:hAnsi="Arial"/>
          <w:b/>
          <w:bCs/>
          <w:sz w:val="21"/>
          <w:szCs w:val="21"/>
        </w:rPr>
        <w:t xml:space="preserve">Sentence for the paper: </w:t>
      </w:r>
      <w:r>
        <w:rPr>
          <w:rFonts w:ascii="Arial" w:cs="Arial" w:eastAsia="Arial" w:hAnsi="Arial"/>
          <w:sz w:val="21"/>
          <w:szCs w:val="21"/>
        </w:rPr>
        <w:t xml:space="preserve"/>
      </w:r>
    </w:p>
    <w:p>
      <w:pPr>
        <w:spacing w:after="160"/>
        <w:ind w:left="400"/>
      </w:pPr>
      <w:r>
        <w:rPr>
          <w:rFonts w:ascii="Arial" w:cs="Arial" w:eastAsia="Arial" w:hAnsi="Arial"/>
          <w:i/>
          <w:iCs/>
          <w:sz w:val="21"/>
          <w:szCs w:val="21"/>
        </w:rPr>
        <w:t xml:space="preserve">Given complete inputs, frontier models computed fewer than a third of simplified US federal returns exactly, and their answers varied across repeated runs; the authors conclude that deterministic tax engines remain necessary [N13].</w:t>
      </w:r>
    </w:p>
    <w:p>
      <w:pPr>
        <w:pStyle w:val="Heading2"/>
        <w:spacing w:after="100" w:before="240"/>
      </w:pPr>
      <w:r>
        <w:rPr>
          <w:rFonts w:ascii="Arial" w:cs="Arial" w:eastAsia="Arial" w:hAnsi="Arial"/>
        </w:rPr>
        <w:t xml:space="preserve">CaMeL: Defeating prompt injections by design (Debenedetti et al., arXiv 2025) [N6]</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Abstract and conclusion. Method details not read.</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 protective layer around the model. Control and data flow are taken from the trusted user query, so untrusted data cannot change what the program does. Capabilities attached to data are checked whenever a tool is called.</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77% of AgentDojo tasks solved with provable security, against 84% for an undefended system. The authors present it as security by system design rather than learned behaviour, and say it does not cover every attack.</w:t>
      </w:r>
    </w:p>
    <w:p>
      <w:pPr>
        <w:spacing w:after="100"/>
      </w:pPr>
      <w:r>
        <w:rPr>
          <w:rFonts w:ascii="Arial" w:cs="Arial" w:eastAsia="Arial" w:hAnsi="Arial"/>
          <w:b/>
          <w:bCs/>
          <w:sz w:val="21"/>
          <w:szCs w:val="21"/>
        </w:rPr>
        <w:t xml:space="preserve">How we differ: </w:t>
      </w:r>
      <w:r>
        <w:rPr>
          <w:rFonts w:ascii="Arial" w:cs="Arial" w:eastAsia="Arial" w:hAnsi="Arial"/>
          <w:sz w:val="21"/>
          <w:szCs w:val="21"/>
        </w:rPr>
        <w:t xml:space="preserve">Same philosophy, different property. CaMeL protects against injected instructions and data leaks; we protect the correctness of figures. The paper will not describe CaMeL's internal design, because that was not read.</w:t>
      </w:r>
    </w:p>
    <w:p>
      <w:pPr>
        <w:spacing w:after="100"/>
      </w:pPr>
      <w:r>
        <w:rPr>
          <w:rFonts w:ascii="Arial" w:cs="Arial" w:eastAsia="Arial" w:hAnsi="Arial"/>
          <w:b/>
          <w:bCs/>
          <w:sz w:val="21"/>
          <w:szCs w:val="21"/>
        </w:rPr>
        <w:t xml:space="preserve">Sentence for the paper: </w:t>
      </w:r>
      <w:r>
        <w:rPr>
          <w:rFonts w:ascii="Arial" w:cs="Arial" w:eastAsia="Arial" w:hAnsi="Arial"/>
          <w:sz w:val="21"/>
          <w:szCs w:val="21"/>
        </w:rPr>
        <w:t xml:space="preserve"/>
      </w:r>
    </w:p>
    <w:p>
      <w:pPr>
        <w:spacing w:after="160"/>
        <w:ind w:left="400"/>
      </w:pPr>
      <w:r>
        <w:rPr>
          <w:rFonts w:ascii="Arial" w:cs="Arial" w:eastAsia="Arial" w:hAnsi="Arial"/>
          <w:i/>
          <w:iCs/>
          <w:sz w:val="21"/>
          <w:szCs w:val="21"/>
        </w:rPr>
        <w:t xml:space="preserve">CaMeL argues for guarantees by system design rather than by model behaviour, checking capabilities whenever a tool is called [N6]. We apply the same principle to a different property: that no figure shown to a user originates in the model.</w:t>
      </w:r>
    </w:p>
    <w:p>
      <w:pPr>
        <w:pStyle w:val="Heading2"/>
        <w:spacing w:after="100" w:before="240"/>
      </w:pPr>
      <w:r>
        <w:rPr>
          <w:rFonts w:ascii="Arial" w:cs="Arial" w:eastAsia="Arial" w:hAnsi="Arial"/>
        </w:rPr>
        <w:t xml:space="preserve">Auto ITR (Mehta et al., IJERT 2026) [N14]</w:t>
      </w:r>
    </w:p>
    <w:p>
      <w:pPr>
        <w:spacing w:after="100"/>
      </w:pPr>
      <w:r>
        <w:rPr>
          <w:rFonts w:ascii="Arial" w:cs="Arial" w:eastAsia="Arial" w:hAnsi="Arial"/>
          <w:b/>
          <w:bCs/>
          <w:sz w:val="21"/>
          <w:szCs w:val="21"/>
        </w:rPr>
        <w:t xml:space="preserve">Read: </w:t>
      </w:r>
      <w:r>
        <w:rPr>
          <w:rFonts w:ascii="Arial" w:cs="Arial" w:eastAsia="Arial" w:hAnsi="Arial"/>
          <w:sz w:val="21"/>
          <w:szCs w:val="21"/>
        </w:rPr>
        <w:t xml:space="preserve">Full paper.</w:t>
      </w:r>
    </w:p>
    <w:p>
      <w:pPr>
        <w:spacing w:after="100"/>
      </w:pPr>
      <w:r>
        <w:rPr>
          <w:rFonts w:ascii="Arial" w:cs="Arial" w:eastAsia="Arial" w:hAnsi="Arial"/>
          <w:b/>
          <w:bCs/>
          <w:sz w:val="21"/>
          <w:szCs w:val="21"/>
        </w:rPr>
        <w:t xml:space="preserve">What they built: </w:t>
      </w:r>
      <w:r>
        <w:rPr>
          <w:rFonts w:ascii="Arial" w:cs="Arial" w:eastAsia="Arial" w:hAnsi="Arial"/>
          <w:sz w:val="21"/>
          <w:szCs w:val="21"/>
        </w:rPr>
        <w:t xml:space="preserve">An Indian filing assistant: parses bank statements, categorises transactions, flags anomalies, computes both regimes with rules (assessment year 2024-25, section 87A, cess), and offers a chatbot that answers from a curated knowledge base and falls back to a general model.</w:t>
      </w:r>
    </w:p>
    <w:p>
      <w:pPr>
        <w:spacing w:after="100"/>
      </w:pPr>
      <w:r>
        <w:rPr>
          <w:rFonts w:ascii="Arial" w:cs="Arial" w:eastAsia="Arial" w:hAnsi="Arial"/>
          <w:b/>
          <w:bCs/>
          <w:sz w:val="21"/>
          <w:szCs w:val="21"/>
        </w:rPr>
        <w:t xml:space="preserve">What they showed: </w:t>
      </w:r>
      <w:r>
        <w:rPr>
          <w:rFonts w:ascii="Arial" w:cs="Arial" w:eastAsia="Arial" w:hAnsi="Arial"/>
          <w:sz w:val="21"/>
          <w:szCs w:val="21"/>
        </w:rPr>
        <w:t xml:space="preserve">Metrics reported for categorisation and anomaly detection, and a chartered-accountant acceptance rate. The paper describes no check of the chatbot's replies against the computed figures. Its own reference list looks unreliable and should not be followed.</w:t>
      </w:r>
    </w:p>
    <w:p>
      <w:pPr>
        <w:spacing w:after="100"/>
      </w:pPr>
      <w:r>
        <w:rPr>
          <w:rFonts w:ascii="Arial" w:cs="Arial" w:eastAsia="Arial" w:hAnsi="Arial"/>
          <w:b/>
          <w:bCs/>
          <w:sz w:val="21"/>
          <w:szCs w:val="21"/>
        </w:rPr>
        <w:t xml:space="preserve">How we differ: </w:t>
      </w:r>
      <w:r>
        <w:rPr>
          <w:rFonts w:ascii="Arial" w:cs="Arial" w:eastAsia="Arial" w:hAnsi="Arial"/>
          <w:sz w:val="21"/>
          <w:szCs w:val="21"/>
        </w:rPr>
        <w:t xml:space="preserve">It shows that combining Indian tax rules with a chatbot is not new. What is new in ours is enforcing and checking that the model cannot originate figures, separating agents by permitted tools, and measuring the effect.</w:t>
      </w:r>
    </w:p>
    <w:p>
      <w:pPr>
        <w:spacing w:after="100"/>
      </w:pPr>
      <w:r>
        <w:rPr>
          <w:rFonts w:ascii="Arial" w:cs="Arial" w:eastAsia="Arial" w:hAnsi="Arial"/>
          <w:b/>
          <w:bCs/>
          <w:sz w:val="21"/>
          <w:szCs w:val="21"/>
        </w:rPr>
        <w:t xml:space="preserve">Sentence for the paper: </w:t>
      </w:r>
      <w:r>
        <w:rPr>
          <w:rFonts w:ascii="Arial" w:cs="Arial" w:eastAsia="Arial" w:hAnsi="Arial"/>
          <w:sz w:val="21"/>
          <w:szCs w:val="21"/>
        </w:rPr>
        <w:t xml:space="preserve"/>
      </w:r>
    </w:p>
    <w:p>
      <w:pPr>
        <w:spacing w:after="160"/>
        <w:ind w:left="400"/>
      </w:pPr>
      <w:r>
        <w:rPr>
          <w:rFonts w:ascii="Arial" w:cs="Arial" w:eastAsia="Arial" w:hAnsi="Arial"/>
          <w:i/>
          <w:iCs/>
          <w:sz w:val="21"/>
          <w:szCs w:val="21"/>
        </w:rPr>
        <w:t xml:space="preserve">Hybrid systems for Indian tax filing already pair rule-based computation with a chatbot; Auto ITR, for example, computes both regimes with rules and falls back to a general-purpose model for open questions [N14]. We are not aware of one that checks the model's replies against the computed figures.</w:t>
      </w:r>
    </w:p>
    <w:p>
      <w:pPr>
        <w:pStyle w:val="Heading1"/>
        <w:spacing w:after="120" w:before="240"/>
      </w:pPr>
      <w:r>
        <w:rPr>
          <w:rFonts w:ascii="Arial" w:cs="Arial" w:eastAsia="Arial" w:hAnsi="Arial"/>
        </w:rPr>
        <w:t xml:space="preserve">2. Read at abstract level</w:t>
      </w:r>
    </w:p>
    <w:p>
      <w:pPr>
        <w:spacing w:after="120"/>
      </w:pPr>
      <w:r>
        <w:rPr>
          <w:rFonts w:ascii="Arial" w:cs="Arial" w:eastAsia="Arial" w:hAnsi="Arial"/>
          <w:sz w:val="21"/>
          <w:szCs w:val="21"/>
        </w:rPr>
        <w:t xml:space="preserve">For these, the paper will say only what the abstract supports.</w:t>
      </w:r>
    </w:p>
    <w:p>
      <w:pPr>
        <w:pStyle w:val="ListParagraph"/>
        <w:numPr>
          <w:ilvl w:val="0"/>
          <w:numId w:val="2"/>
        </w:numPr>
        <w:spacing w:after="60"/>
      </w:pPr>
      <w:r>
        <w:rPr>
          <w:rFonts w:ascii="Arial" w:cs="Arial" w:eastAsia="Arial" w:hAnsi="Arial"/>
          <w:sz w:val="21"/>
          <w:szCs w:val="21"/>
        </w:rPr>
        <w:t xml:space="preserve">Toolformer [N3]: the model is trained to decide which tool to call, when, and with what arguments, a calculator among them. Use: a model can learn to call a calculator, but whether it does so is still the model's choice.</w:t>
      </w:r>
    </w:p>
    <w:p>
      <w:pPr>
        <w:pStyle w:val="ListParagraph"/>
        <w:numPr>
          <w:ilvl w:val="0"/>
          <w:numId w:val="2"/>
        </w:numPr>
        <w:spacing w:after="60"/>
      </w:pPr>
      <w:r>
        <w:rPr>
          <w:rFonts w:ascii="Arial" w:cs="Arial" w:eastAsia="Arial" w:hAnsi="Arial"/>
          <w:sz w:val="21"/>
          <w:szCs w:val="21"/>
        </w:rPr>
        <w:t xml:space="preserve">MemGPT [N5]: an operating-system style memory hierarchy that the model manages itself through function calls. Use: in MemGPT the model manages its memory; in ours the kernel records memory from what actually ran.</w:t>
      </w:r>
    </w:p>
    <w:p>
      <w:pPr>
        <w:pStyle w:val="ListParagraph"/>
        <w:numPr>
          <w:ilvl w:val="0"/>
          <w:numId w:val="2"/>
        </w:numPr>
        <w:spacing w:after="60"/>
      </w:pPr>
      <w:r>
        <w:rPr>
          <w:rFonts w:ascii="Arial" w:cs="Arial" w:eastAsia="Arial" w:hAnsi="Arial"/>
          <w:sz w:val="21"/>
          <w:szCs w:val="21"/>
        </w:rPr>
        <w:t xml:space="preserve">NeMo Guardrails [N7]: programmable rails at runtime, independent of the model, for topics, dialogue paths and style. Use: our guard is a narrower check of every figure against tool outputs.</w:t>
      </w:r>
    </w:p>
    <w:p>
      <w:pPr>
        <w:pStyle w:val="ListParagraph"/>
        <w:numPr>
          <w:ilvl w:val="0"/>
          <w:numId w:val="2"/>
        </w:numPr>
        <w:spacing w:after="60"/>
      </w:pPr>
      <w:r>
        <w:rPr>
          <w:rFonts w:ascii="Arial" w:cs="Arial" w:eastAsia="Arial" w:hAnsi="Arial"/>
          <w:sz w:val="21"/>
          <w:szCs w:val="21"/>
        </w:rPr>
        <w:t xml:space="preserve">SARA [N9]: on US tax statutes, machine-reading models did poorly while a hand-built rule system solved the task. Use: early evidence that rules written as code beat learned models on statutory tax reasoning.</w:t>
      </w:r>
    </w:p>
    <w:p>
      <w:pPr>
        <w:pStyle w:val="ListParagraph"/>
        <w:numPr>
          <w:ilvl w:val="0"/>
          <w:numId w:val="2"/>
        </w:numPr>
        <w:spacing w:after="60"/>
      </w:pPr>
      <w:r>
        <w:rPr>
          <w:rFonts w:ascii="Arial" w:cs="Arial" w:eastAsia="Arial" w:hAnsi="Arial"/>
          <w:sz w:val="21"/>
          <w:szCs w:val="21"/>
        </w:rPr>
        <w:t xml:space="preserve">Logic-LM [N10]: the model translates a problem into symbolic form and a deterministic solver infers. Use: the nearest neuro-symbolic pattern; our solver's inputs come from stored data, not the model.</w:t>
      </w:r>
    </w:p>
    <w:p>
      <w:pPr>
        <w:pStyle w:val="ListParagraph"/>
        <w:numPr>
          <w:ilvl w:val="0"/>
          <w:numId w:val="2"/>
        </w:numPr>
        <w:spacing w:after="60"/>
      </w:pPr>
      <w:r>
        <w:rPr>
          <w:rFonts w:ascii="Arial" w:cs="Arial" w:eastAsia="Arial" w:hAnsi="Arial"/>
          <w:sz w:val="21"/>
          <w:szCs w:val="21"/>
        </w:rPr>
        <w:t xml:space="preserve">Kordjamshidi et al. 2026 [N11] (abstract and conclusion): tax-law scores are inflated by training-data contamination; models are unstable on new or compositional cases; systems that separate language understanding from rule execution are more robust, with models best used as translators. Use: strongest recent support for our division of labour.</w:t>
      </w:r>
    </w:p>
    <w:p>
      <w:pPr>
        <w:pStyle w:val="ListParagraph"/>
        <w:numPr>
          <w:ilvl w:val="0"/>
          <w:numId w:val="2"/>
        </w:numPr>
        <w:spacing w:after="60"/>
      </w:pPr>
      <w:r>
        <w:rPr>
          <w:rFonts w:ascii="Arial" w:cs="Arial" w:eastAsia="Arial" w:hAnsi="Arial"/>
          <w:sz w:val="21"/>
          <w:szCs w:val="21"/>
        </w:rPr>
        <w:t xml:space="preserve">Lakkaraju et al. 2023 [N12] (abstract and introduction): ChatGPT and Bard on 13 personal-finance questions in three language varieties gave fluent, plausible answers with critical gaps in accuracy. The later ICAIF version could not be accessed and is not cited.</w:t>
      </w:r>
    </w:p>
    <w:p>
      <w:pPr>
        <w:pStyle w:val="ListParagraph"/>
        <w:numPr>
          <w:ilvl w:val="0"/>
          <w:numId w:val="2"/>
        </w:numPr>
        <w:spacing w:after="60"/>
      </w:pPr>
      <w:r>
        <w:rPr>
          <w:rFonts w:ascii="Arial" w:cs="Arial" w:eastAsia="Arial" w:hAnsi="Arial"/>
          <w:sz w:val="21"/>
          <w:szCs w:val="21"/>
        </w:rPr>
        <w:t xml:space="preserve">Nay et al. [15]: accuracy on US tax questions rises with each model, with retrieved statutes and with examples, but is not yet at expert level.</w:t>
      </w:r>
    </w:p>
    <w:p>
      <w:pPr>
        <w:pStyle w:val="ListParagraph"/>
        <w:numPr>
          <w:ilvl w:val="0"/>
          <w:numId w:val="2"/>
        </w:numPr>
        <w:spacing w:after="60"/>
      </w:pPr>
      <w:r>
        <w:rPr>
          <w:rFonts w:ascii="Arial" w:cs="Arial" w:eastAsia="Arial" w:hAnsi="Arial"/>
          <w:sz w:val="21"/>
          <w:szCs w:val="21"/>
        </w:rPr>
        <w:t xml:space="preserve">VITA study [24]: best models 83.33% on basic multiple-choice US tax questions; GPT-3.5 54.17%; Llama 3.1 8B 50.00%.</w:t>
      </w:r>
    </w:p>
    <w:p>
      <w:pPr>
        <w:pStyle w:val="ListParagraph"/>
        <w:numPr>
          <w:ilvl w:val="0"/>
          <w:numId w:val="2"/>
        </w:numPr>
        <w:spacing w:after="60"/>
      </w:pPr>
      <w:r>
        <w:rPr>
          <w:rFonts w:ascii="Arial" w:cs="Arial" w:eastAsia="Arial" w:hAnsi="Arial"/>
          <w:sz w:val="21"/>
          <w:szCs w:val="21"/>
        </w:rPr>
        <w:t xml:space="preserve">PLAT [26]: 300 examples from 100 Korean court precedents on tax penalties; baseline ability limited; retrieval and role-based multi-agent discussion help.</w:t>
      </w:r>
    </w:p>
    <w:p>
      <w:pPr>
        <w:pStyle w:val="Heading1"/>
        <w:spacing w:after="120" w:before="240"/>
      </w:pPr>
      <w:r>
        <w:rPr>
          <w:rFonts w:ascii="Arial" w:cs="Arial" w:eastAsia="Arial" w:hAnsi="Arial"/>
        </w:rPr>
        <w:t xml:space="preserve">3. How the literature review section will be built from these</w:t>
      </w:r>
    </w:p>
    <w:p>
      <w:pPr>
        <w:spacing w:after="120"/>
      </w:pPr>
      <w:r>
        <w:rPr>
          <w:rFonts w:ascii="Arial" w:cs="Arial" w:eastAsia="Arial" w:hAnsi="Arial"/>
          <w:sz w:val="21"/>
          <w:szCs w:val="21"/>
        </w:rPr>
        <w:t xml:space="preserve">Four short paragraphs, each ending with how our work differs.</w:t>
      </w:r>
    </w:p>
    <w:p>
      <w:pPr>
        <w:pStyle w:val="ListParagraph"/>
        <w:numPr>
          <w:ilvl w:val="0"/>
          <w:numId w:val="2"/>
        </w:numPr>
        <w:spacing w:after="60"/>
      </w:pPr>
      <w:r>
        <w:rPr>
          <w:rFonts w:ascii="Arial" w:cs="Arial" w:eastAsia="Arial" w:hAnsi="Arial"/>
          <w:sz w:val="21"/>
          <w:szCs w:val="21"/>
        </w:rPr>
        <w:t xml:space="preserve">Models and tax: the evidence that general models fall short on tax computation and reasoning (N13, 15, 24, 25, 26, N11), with the caveat that all of it concerns non-Indian law.</w:t>
      </w:r>
    </w:p>
    <w:p>
      <w:pPr>
        <w:pStyle w:val="ListParagraph"/>
        <w:numPr>
          <w:ilvl w:val="0"/>
          <w:numId w:val="2"/>
        </w:numPr>
        <w:spacing w:after="60"/>
      </w:pPr>
      <w:r>
        <w:rPr>
          <w:rFonts w:ascii="Arial" w:cs="Arial" w:eastAsia="Arial" w:hAnsi="Arial"/>
          <w:sz w:val="21"/>
          <w:szCs w:val="21"/>
        </w:rPr>
        <w:t xml:space="preserve">Moving computation out of the model: chain-of-thought, PAL, Program of Thoughts, Toolformer, Logic-LM, SARA (3, N1, N2, N3, N10, N9). Our step beyond: fixed functions whose inputs never pass through the model.</w:t>
      </w:r>
    </w:p>
    <w:p>
      <w:pPr>
        <w:pStyle w:val="ListParagraph"/>
        <w:numPr>
          <w:ilvl w:val="0"/>
          <w:numId w:val="2"/>
        </w:numPr>
        <w:spacing w:after="60"/>
      </w:pPr>
      <w:r>
        <w:rPr>
          <w:rFonts w:ascii="Arial" w:cs="Arial" w:eastAsia="Arial" w:hAnsi="Arial"/>
          <w:sz w:val="21"/>
          <w:szCs w:val="21"/>
        </w:rPr>
        <w:t xml:space="preserve">Agent systems and operating-system designs: ReAct, AutoGen, multi-agent surveys, AIOS, MemGPT (4, 8, 10, 22, S4, 23, N4, N5). Our difference: agents separated by permitted tools, and a kernel that limits the model's authority rather than serving it.</w:t>
      </w:r>
    </w:p>
    <w:p>
      <w:pPr>
        <w:pStyle w:val="ListParagraph"/>
        <w:numPr>
          <w:ilvl w:val="0"/>
          <w:numId w:val="2"/>
        </w:numPr>
        <w:spacing w:after="60"/>
      </w:pPr>
      <w:r>
        <w:rPr>
          <w:rFonts w:ascii="Arial" w:cs="Arial" w:eastAsia="Arial" w:hAnsi="Arial"/>
          <w:sz w:val="21"/>
          <w:szCs w:val="21"/>
        </w:rPr>
        <w:t xml:space="preserve">Guarantees and checking: CaMeL, NeMo Guardrails, hallucination (N6, N7, N8). Our guard is narrow by design: every figure in a reply must match a tool output.</w:t>
      </w:r>
    </w:p>
    <w:p>
      <w:pPr>
        <w:pStyle w:val="ListParagraph"/>
        <w:numPr>
          <w:ilvl w:val="0"/>
          <w:numId w:val="2"/>
        </w:numPr>
        <w:spacing w:after="60"/>
      </w:pPr>
      <w:r>
        <w:rPr>
          <w:rFonts w:ascii="Arial" w:cs="Arial" w:eastAsia="Arial" w:hAnsi="Arial"/>
          <w:sz w:val="21"/>
          <w:szCs w:val="21"/>
        </w:rPr>
        <w:t xml:space="preserve">Financial literacy and assistants: NCFE, S&amp;P, Agarwalla et al., Arjun and Subramanian, the chatbot studies, Auto ITR and the government's Kar Saathi (1, S1, S2, S3, 5, 21, N12, N14, N15). This one goes in the introduction rather than Section 2.</w:t>
      </w:r>
    </w:p>
    <w:p>
      <w:pPr>
        <w:pStyle w:val="Heading1"/>
        <w:spacing w:after="120" w:before="240"/>
      </w:pPr>
      <w:r>
        <w:rPr>
          <w:rFonts w:ascii="Arial" w:cs="Arial" w:eastAsia="Arial" w:hAnsi="Arial"/>
        </w:rPr>
        <w:t xml:space="preserve">4. Changes to the source table from this pass</w:t>
      </w:r>
    </w:p>
    <w:p>
      <w:pPr>
        <w:pStyle w:val="ListParagraph"/>
        <w:numPr>
          <w:ilvl w:val="0"/>
          <w:numId w:val="2"/>
        </w:numPr>
        <w:spacing w:after="60"/>
      </w:pPr>
      <w:r>
        <w:rPr>
          <w:rFonts w:ascii="Arial" w:cs="Arial" w:eastAsia="Arial" w:hAnsi="Arial"/>
          <w:sz w:val="21"/>
          <w:szCs w:val="21"/>
        </w:rPr>
        <w:t xml:space="preserve">N12 now cites the 2023 arXiv study that was read, not the ICAIF paper that could not be accessed.</w:t>
      </w:r>
    </w:p>
    <w:p>
      <w:pPr>
        <w:pStyle w:val="ListParagraph"/>
        <w:numPr>
          <w:ilvl w:val="0"/>
          <w:numId w:val="2"/>
        </w:numPr>
        <w:spacing w:after="60"/>
      </w:pPr>
      <w:r>
        <w:rPr>
          <w:rFonts w:ascii="Arial" w:cs="Arial" w:eastAsia="Arial" w:hAnsi="Arial"/>
          <w:sz w:val="21"/>
          <w:szCs w:val="21"/>
        </w:rPr>
        <w:t xml:space="preserve">AIOS was read in its 2024 arXiv version. The paper cites the COLM 2025 version but makes no claim that depends on details that might have changed.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2026-09-28T06:29:52.122Z</dcterms:created>
  <dcterms:modified xsi:type="dcterms:W3CDTF">2026-09-28T06:29:52.122Z</dcterms:modified>
</cp:coreProperties>
</file>

<file path=docProps/custom.xml><?xml version="1.0" encoding="utf-8"?>
<Properties xmlns="http://schemas.openxmlformats.org/officeDocument/2006/custom-properties" xmlns:vt="http://schemas.openxmlformats.org/officeDocument/2006/docPropsVTypes"/>
</file>