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Arial" w:cs="Arial" w:eastAsia="Arial" w:hAnsi="Arial"/>
        </w:rPr>
        <w:t xml:space="preserve">Literature source table</w:t>
      </w:r>
    </w:p>
    <w:p>
      <w:pPr>
        <w:spacing w:after="120"/>
      </w:pPr>
      <w:r>
        <w:rPr>
          <w:rFonts w:ascii="Arial" w:cs="Arial" w:eastAsia="Arial" w:hAnsi="Arial"/>
          <w:sz w:val="20"/>
          <w:szCs w:val="20"/>
        </w:rPr>
        <w:t xml:space="preserve">Paper: A Conversational Platform for Financial Literacy and Management using a Multi-Agent LLM Orchestrator. Venue: BAICONF 2026, IIM Bangalore. Updated 28 September 2026.</w:t>
      </w:r>
    </w:p>
    <w:p>
      <w:pPr>
        <w:spacing w:after="120"/>
      </w:pPr>
      <w:r>
        <w:rPr>
          <w:rFonts w:ascii="Arial" w:cs="Arial" w:eastAsia="Arial" w:hAnsi="Arial"/>
          <w:sz w:val="20"/>
          <w:szCs w:val="20"/>
        </w:rPr>
        <w:t xml:space="preserve">Every reference below was located and at least its abstract read before being listed. Nothing here comes from memory. Where a detail could not be confirmed, the table says so.</w:t>
      </w:r>
    </w:p>
    <w:p>
      <w:pPr>
        <w:pStyle w:val="Heading2"/>
        <w:spacing w:after="120" w:before="240"/>
      </w:pPr>
      <w:r>
        <w:rPr>
          <w:rFonts w:ascii="Arial" w:cs="Arial" w:eastAsia="Arial" w:hAnsi="Arial"/>
        </w:rPr>
        <w:t xml:space="preserve">What this check found</w:t>
      </w:r>
    </w:p>
    <w:p>
      <w:pPr>
        <w:pStyle w:val="ListParagraph"/>
        <w:numPr>
          <w:ilvl w:val="0"/>
          <w:numId w:val="2"/>
        </w:numPr>
        <w:spacing w:after="60"/>
      </w:pPr>
      <w:r>
        <w:rPr>
          <w:rFonts w:ascii="Arial" w:cs="Arial" w:eastAsia="Arial" w:hAnsi="Arial"/>
          <w:sz w:val="20"/>
          <w:szCs w:val="20"/>
        </w:rPr>
        <w:t xml:space="preserve">The project's 29 references: 22 verified, 2 corrected because the authors were wrong (refs 5 and 22), 3 not findable anywhere and dropped (refs 19, 20, 28), and 2 web sources replaced by the survey they quote (refs 27, 29).</w:t>
      </w:r>
    </w:p>
    <w:p>
      <w:pPr>
        <w:pStyle w:val="ListParagraph"/>
        <w:numPr>
          <w:ilvl w:val="0"/>
          <w:numId w:val="2"/>
        </w:numPr>
        <w:spacing w:after="60"/>
      </w:pPr>
      <w:r>
        <w:rPr>
          <w:rFonts w:ascii="Arial" w:cs="Arial" w:eastAsia="Arial" w:hAnsi="Arial"/>
          <w:sz w:val="20"/>
          <w:szCs w:val="20"/>
        </w:rPr>
        <w:t xml:space="preserve">Seven arXiv entries have reviewed versions, and the paper cites those: refs 8, 9, 12, 13, 17, 21, 26.</w:t>
      </w:r>
    </w:p>
    <w:p>
      <w:pPr>
        <w:pStyle w:val="ListParagraph"/>
        <w:numPr>
          <w:ilvl w:val="0"/>
          <w:numId w:val="2"/>
        </w:numPr>
        <w:spacing w:after="60"/>
      </w:pPr>
      <w:r>
        <w:rPr>
          <w:rFonts w:ascii="Arial" w:cs="Arial" w:eastAsia="Arial" w:hAnsi="Arial"/>
          <w:sz w:val="20"/>
          <w:szCs w:val="20"/>
        </w:rPr>
        <w:t xml:space="preserve">Four stand-ins (S1 to S4) and fifteen new references (N1 to N15). Total usable: about 43. The final list will hold only what the text cites, probably 25 to 30 within the 4,500-word limit.</w:t>
      </w:r>
    </w:p>
    <w:p>
      <w:pPr>
        <w:pStyle w:val="ListParagraph"/>
        <w:numPr>
          <w:ilvl w:val="0"/>
          <w:numId w:val="2"/>
        </w:numPr>
        <w:spacing w:after="60"/>
      </w:pPr>
      <w:r>
        <w:rPr>
          <w:rFonts w:ascii="Arial" w:cs="Arial" w:eastAsia="Arial" w:hAnsi="Arial"/>
          <w:sz w:val="20"/>
          <w:szCs w:val="20"/>
        </w:rPr>
        <w:t xml:space="preserve">How strong each check is: most were checked on the publisher, proceedings or arXiv page. Four rest on a secondary record (refs 12, S4, N4, and the journal details of 24). Those are marked "via citing record" or similar in the Status column, and their missing DOIs are listed below.</w:t>
      </w:r>
    </w:p>
    <w:p>
      <w:pPr>
        <w:pStyle w:val="ListParagraph"/>
        <w:numPr>
          <w:ilvl w:val="0"/>
          <w:numId w:val="2"/>
        </w:numPr>
        <w:spacing w:after="60"/>
      </w:pPr>
      <w:r>
        <w:rPr>
          <w:rFonts w:ascii="Arial" w:cs="Arial" w:eastAsia="Arial" w:hAnsi="Arial"/>
          <w:sz w:val="20"/>
          <w:szCs w:val="20"/>
        </w:rPr>
        <w:t xml:space="preserve">Most checks read the abstract. Every figure the paper quotes was read in the source itself: 27% (NCFE summary), 24% and 33% (S&amp;P report), 83% and 50% (VITA abstract), under a third (TaxCalcBench abstract).</w:t>
      </w:r>
    </w:p>
    <w:p>
      <w:pPr>
        <w:pStyle w:val="Heading2"/>
        <w:spacing w:after="120" w:before="240"/>
      </w:pPr>
      <w:r>
        <w:rPr>
          <w:rFonts w:ascii="Arial" w:cs="Arial" w:eastAsia="Arial" w:hAnsi="Arial"/>
        </w:rPr>
        <w:t xml:space="preserve">What this means for the paper's claims</w:t>
      </w:r>
    </w:p>
    <w:p>
      <w:pPr>
        <w:pStyle w:val="ListParagraph"/>
        <w:numPr>
          <w:ilvl w:val="0"/>
          <w:numId w:val="2"/>
        </w:numPr>
        <w:spacing w:after="60"/>
      </w:pPr>
      <w:r>
        <w:rPr>
          <w:rFonts w:ascii="Arial" w:cs="Arial" w:eastAsia="Arial" w:hAnsi="Arial"/>
          <w:sz w:val="20"/>
          <w:szCs w:val="20"/>
        </w:rPr>
        <w:t xml:space="preserve">Not the first. An Indian system combining rule-based tax computation with a chatbot already exists (N14), and the tax department launched its own AI assistant in 2026 (N15). The paper's contribution is the enforced and checked separation, not the combination.</w:t>
      </w:r>
    </w:p>
    <w:p>
      <w:pPr>
        <w:pStyle w:val="ListParagraph"/>
        <w:numPr>
          <w:ilvl w:val="0"/>
          <w:numId w:val="2"/>
        </w:numPr>
        <w:spacing w:after="60"/>
      </w:pPr>
      <w:r>
        <w:rPr>
          <w:rFonts w:ascii="Arial" w:cs="Arial" w:eastAsia="Arial" w:hAnsi="Arial"/>
          <w:sz w:val="20"/>
          <w:szCs w:val="20"/>
        </w:rPr>
        <w:t xml:space="preserve">"Portals compute but do not explain" is dated. Say that official and third-party assistants now exist, and that we did not find a published evaluation of the figures they give.</w:t>
      </w:r>
    </w:p>
    <w:p>
      <w:pPr>
        <w:pStyle w:val="ListParagraph"/>
        <w:numPr>
          <w:ilvl w:val="0"/>
          <w:numId w:val="2"/>
        </w:numPr>
        <w:spacing w:after="60"/>
      </w:pPr>
      <w:r>
        <w:rPr>
          <w:rFonts w:ascii="Arial" w:cs="Arial" w:eastAsia="Arial" w:hAnsi="Arial"/>
          <w:sz w:val="20"/>
          <w:szCs w:val="20"/>
        </w:rPr>
        <w:t xml:space="preserve">The evidence that models get tax figures wrong is all on US law (N13, refs 15, 24) or other countries (refs 25, 26). No Indian-tax benchmark was found. Say so.</w:t>
      </w:r>
    </w:p>
    <w:p>
      <w:pPr>
        <w:pStyle w:val="ListParagraph"/>
        <w:numPr>
          <w:ilvl w:val="0"/>
          <w:numId w:val="2"/>
        </w:numPr>
        <w:spacing w:after="60"/>
      </w:pPr>
      <w:r>
        <w:rPr>
          <w:rFonts w:ascii="Arial" w:cs="Arial" w:eastAsia="Arial" w:hAnsi="Arial"/>
          <w:sz w:val="20"/>
          <w:szCs w:val="20"/>
        </w:rPr>
        <w:t xml:space="preserve">The NCFE report supports 27% but, in its summary, not "tax knowledge is weakest". That clause goes.</w:t>
      </w:r>
    </w:p>
    <w:p>
      <w:pPr>
        <w:pStyle w:val="ListParagraph"/>
        <w:numPr>
          <w:ilvl w:val="0"/>
          <w:numId w:val="2"/>
        </w:numPr>
        <w:spacing w:after="60"/>
      </w:pPr>
      <w:r>
        <w:rPr>
          <w:rFonts w:ascii="Arial" w:cs="Arial" w:eastAsia="Arial" w:hAnsi="Arial"/>
          <w:sz w:val="20"/>
          <w:szCs w:val="20"/>
        </w:rPr>
        <w:t xml:space="preserve">Ref 15 supports "below expert level", not "material errors".</w:t>
      </w:r>
    </w:p>
    <w:p>
      <w:pPr>
        <w:pStyle w:val="ListParagraph"/>
        <w:numPr>
          <w:ilvl w:val="0"/>
          <w:numId w:val="2"/>
        </w:numPr>
        <w:spacing w:after="60"/>
      </w:pPr>
      <w:r>
        <w:rPr>
          <w:rFonts w:ascii="Arial" w:cs="Arial" w:eastAsia="Arial" w:hAnsi="Arial"/>
          <w:sz w:val="20"/>
          <w:szCs w:val="20"/>
        </w:rPr>
        <w:t xml:space="preserve">Our rules are FY 2025-26 under the Income-tax Act, 1961. The Income Tax Act, 2025 took effect on 1 April 2026 (N15). State the year plainly and list migration as future work.</w:t>
      </w:r>
    </w:p>
    <w:p>
      <w:pPr>
        <w:pStyle w:val="Heading2"/>
        <w:spacing w:after="120" w:before="240"/>
      </w:pPr>
      <w:r>
        <w:rPr>
          <w:rFonts w:ascii="Arial" w:cs="Arial" w:eastAsia="Arial" w:hAnsi="Arial"/>
        </w:rPr>
        <w:t xml:space="preserve">Still open</w:t>
      </w:r>
    </w:p>
    <w:p>
      <w:pPr>
        <w:pStyle w:val="ListParagraph"/>
        <w:numPr>
          <w:ilvl w:val="0"/>
          <w:numId w:val="2"/>
        </w:numPr>
        <w:spacing w:after="60"/>
      </w:pPr>
      <w:r>
        <w:rPr>
          <w:rFonts w:ascii="Arial" w:cs="Arial" w:eastAsia="Arial" w:hAnsi="Arial"/>
          <w:sz w:val="20"/>
          <w:szCs w:val="20"/>
        </w:rPr>
        <w:t xml:space="preserve">DOIs to add before submission, if time allows: ref 12 (Springer), ref 24 (Springer, AI and Law), S4 (IJCAI). The same "Cite This" trick as ref 5 works for all three.</w:t>
      </w:r>
    </w:p>
    <w:p>
      <w:pPr>
        <w:pStyle w:val="ListParagraph"/>
        <w:numPr>
          <w:ilvl w:val="0"/>
          <w:numId w:val="2"/>
        </w:numPr>
        <w:spacing w:after="60"/>
      </w:pPr>
      <w:r>
        <w:rPr>
          <w:rFonts w:ascii="Arial" w:cs="Arial" w:eastAsia="Arial" w:hAnsi="Arial"/>
          <w:sz w:val="20"/>
          <w:szCs w:val="20"/>
        </w:rPr>
        <w:t xml:space="preserve">O3 can only be cited if someone sends its citation and PDF.</w:t>
      </w:r>
    </w:p>
    <w:p>
      <w:pPr>
        <w:pStyle w:val="Heading2"/>
        <w:spacing w:after="120" w:before="240"/>
      </w:pPr>
      <w:r>
        <w:rPr>
          <w:rFonts w:ascii="Arial" w:cs="Arial" w:eastAsia="Arial" w:hAnsi="Arial"/>
        </w:rPr>
        <w:t xml:space="preserve">A. The project's 29 references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2500"/>
        <w:gridCol w:w="2700"/>
        <w:gridCol w:w="1400"/>
        <w:gridCol w:w="3098"/>
      </w:tblGrid>
      <w:tr>
        <w:trPr>
          <w:tblHeader/>
        </w:trPr>
        <w:tc>
          <w:tcPr>
            <w:tcW w:type="dxa" w:w="7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ID</w:t>
            </w:r>
          </w:p>
        </w:tc>
        <w:tc>
          <w:tcPr>
            <w:tcW w:type="dxa" w:w="50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Citation (Springer style)</w:t>
            </w:r>
          </w:p>
        </w:tc>
        <w:tc>
          <w:tcPr>
            <w:tcW w:type="dxa" w:w="25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DOI or link</w:t>
            </w:r>
          </w:p>
        </w:tc>
        <w:tc>
          <w:tcPr>
            <w:tcW w:type="dxa" w:w="27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How it was checked</w:t>
            </w:r>
          </w:p>
        </w:tc>
        <w:tc>
          <w:tcPr>
            <w:tcW w:type="dxa" w:w="14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Status</w:t>
            </w:r>
          </w:p>
        </w:tc>
        <w:tc>
          <w:tcPr>
            <w:tcW w:type="dxa" w:w="3098"/>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What the paper uses it for</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National Centre for Financial Education: Financial Literacy and Inclusion in India: Final Report, NCFE-FLIS 2019. NCFE, Navi Mumbai (2019)</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old.ncfe.org.in/images/pdfs/reports/NCFE 2019_Final_Report.pdf</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Read the executive summary: overall financial literacy in India measured at 27% (75,140 adults aged 18 to 80, OECD scoring). No statement found that tax knowledge is the weakest area.</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the 27% figure. Drop the claim about tax being weakest.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Klapper, L., Lusardi, A.: Financial literacy and financial resilience: Evidence from around the world. Financial Management 49(3), 589-614 (2020)</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doi:10.1111/fima.12283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RePEc journal record and abstract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about one in three adults worldwide is financially literate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Wei, J., Wang, X., Schuurmans, D., Bosma, M., Ichter, B., Xia, F., Chi, E., Le, Q.V., Zhou, D.: Chain-of-thought prompting elicits reasoning in large language models. In: Advances in Neural Information Processing Systems 35, pp. 24824-24837 (2022)</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arXiv:2201.11903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NeurIPS proceedings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reasoning written out as text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Yao, S., Zhao, J., Yu, D., Du, N., Shafran, I., Narasimhan, K., Cao, Y.: ReAct: Synergizing reasoning and acting in language models. In: ICLR 2023 (2023)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arXiv:2210.03629</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 and ICLR 2023 listing</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the reason-then-call-a-tool loop our agents use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Ramjattan, R., Hosein, P., Henry, N.: Using chatbot technologies to help individuals make sound personalized financial decisions. In: 2021 IEEE International Humanitarian Technology Conference (IHTC), pp. 1-4. IEEE (2021)</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doi:10.1109/IHTC53077.2021.9698928</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Citation copied from IEEE Xplore (Cite This) by the team; abstract read earlier. Our old list said "Cruz et al.", which was wrong.</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Corrected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financial education chatbots (nudges, 68-person survey)</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Gao, Y., Xiong, Y., Gao, X., Jia, K., Pan, J., Bi, Y., Dai, Y., Sun, J., Guo, Q., Wang, M., Wang, H.: Retrieval-augmented generation for large language models: A survey. arXiv:2312.10997 (2023)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arXiv:2312.10997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pages, all versions; no reviewed version found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retrieval; why our explanatory corpus holds no figures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Qin, Y., Liang, S., Ye, Y., et al.: ToolLLM: Facilitating large language models to master 16000+ real-world APIs. In: ICLR 2024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arXiv:2307.16789</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ICLR 2024 proceedings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training models to call tools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8</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Wu, Q., Bansal, G., Zhang, J., Wu, Y., Li, B., Zhu, E., Jiang, L., Zhang, X., Zhang, S., Awadallah, A., White, R.W., Burger, D., Wang, C.: AutoGen: Enabling next-gen LLM applications via multi-agent conversation. In: Conference on Language Modeling (COLM 2024)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arXiv:2308.08155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Microsoft Research publication page lists COLM 2024</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published version found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agents separated by conversation role, not by capability</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9</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Lee, J., Stevens, N., Han, S.C.: Large language models in finance (FinLLMs). Neural Computing and Applications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doi:10.1007/s00521-024-10495-6</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 links the journal DOI; university research record confirms journal and authors (preprint had a fourth author)</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published version found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finance LLMs; hallucination named as an open problem</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10</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Han, S., Zhang, Q., Jin, W., Xu, Z.: LLM multi-agent systems: Challenges and open problems. arXiv:2402.03578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arXiv:2402.03578</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pages; author list changed between versions, latest used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open problems in multi-agent systems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11</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Huang, Y., Huang, J.X.: A survey on retrieval-augmented text generation for large language models. arXiv:2404.10981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arXiv:2404.10981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retrieval stages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12</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Yu, H., Gan, A., Zhang, K., Tong, S., Liu, Q., Liu, Z.: Evaluation of retrieval-augmented generation: A survey. In: CCF Conference on Big Data (BigData 2024), pp. 102-120. Springer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arXiv:2405.07437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 for authors; venue and pages from a citing survey. Volume and DOI still to add.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via citing record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evaluating retrieval systems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13</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Qu, C., Dai, S., Wei, X., Cai, H., Wang, S., Yin, D., Xu, J., Wen, J.-R.: Tool learning with large language models: A survey. Frontiers of Computer Science 19(8), 198343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doi:10.1007/s11704-024-40678-2</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Journal article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published version found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the tool-use workflow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14</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Nie, Y., Kong, Y., Dong, X., Mulvey, J.M., Poor, H.V., Wen, Q., Zohren, S.: A survey of large language models for financial applications: Progress, prospects and challenges. arXiv:2406.11903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arXiv:2406.11903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financial reasoning with LLMs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15</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Nay, J.J., Karamardian, D., Lawsky, S.B., Tao, W., Bhat, M., Jain, R., Lee, A.T., Choi, J.H., Kasai, J.: Large language models as tax attorneys: A case study in legal capabilities emergence. Philosophical Transactions of the Royal Society A 382(2270), 20230159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doi:10.1098/rsta.2023.0159</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abstract, university record, citing record with volume and article number</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Wording: accuracy rises with each model, with retrieved law and examples, but is not yet at expert level. Do not write "material errors".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16</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Li, Y., Wen, H., Wang, W., et al.: Personal LLM agents: Insights and survey about the capability, efficiency and security. arXiv:2401.05459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arXiv:2401.05459</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agents working on personal data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17</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Liu, W., Huang, X., Zeng, X., et al.: ToolACE: Winning the points of LLM function calling. In: ICLR 2025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arXiv:2409.00920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ICLR 2025 page and DBLP</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published version found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function calling; rule plus model checks on training data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18</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Wang, F., Zhang, Z., Zhang, X., et al.: A comprehensive survey of small language models in the era of large language models. arXiv:2411.03350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arXiv:2411.03350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Discussion: why a small model is enough when it only routes and words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19</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"An empirical study on financial literacy in India", IJFMR (2024), no authors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none found</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Two searches, no match</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Not found, dropped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S2 makes the same point from a reviewed journal</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20</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"Financial literacy in India", Futuristic Trends in Social Sciences, IIP Series (2024), no authors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none found</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Searched the series and title, no match</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Not found, dropped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S3 makes the same point from a reviewed journal</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21</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Kosireddy, T.R., Wall, J.D., Lucas, E.: Exploring the readiness of prominent small language models for the democratization of financial literacy. In: Proceedings of the 1st Workshop on Customizable NLP (CustomNLP4U), pp. 124-149. ACL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doi:10.18653/v1/2024.customnlp4u-1.11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ACL Anthology entry and arXiv:2410.07118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authors found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small models answering financial literacy questions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22</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Chen, S., Liu, Y., Han, W., Zhang, W., Liu, T.: A survey on LLM-based multi-agent system: Recent advances and new frontiers in application. arXiv:2412.17481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arXiv:2412.17481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pages. Our list had "Guo et al." as authors, which is wrong; that is a different survey (S4).</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Corrected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multi-agent applications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23</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Tran, K.-T., Dao, D., Nguyen, M.-D., Pham, Q.-V., O'Sullivan, B., Nguyen, H.D.: Multi-agent collaboration mechanisms: A survey of LLMs. arXiv:2501.06322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arXiv:2501.06322</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paper header</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centralised versus distributed coordination; our orchestrator is centralised</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24</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Gogani-Khiabani, S., Trivedi, A., Chyi, S., Tizpaz-Niari, S.: Performance of LLMs on VITA test: Potential for AI-assisted tax returns for low income taxpayers. Artificial Intelligence and Law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NSF record par.nsf.gov/biblio/10649839</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University record (authors, journal, online 8 July 2025) and NSF abstract. Volume, pages and DOI still to add.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authors found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best models about 83% on basic multiple-choice US tax questions, weaker ones about 50%</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25</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Luketina, M., Benkel, A., Schuetz, C.G.: Using large language models for legal decision-making in Austrian value-added tax law: An experimental study. arXiv:2507.08468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arXiv:2507.08468</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 and university record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authors found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prototypes not ready for full automation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26</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Choi, E., Suh, Y.J., Lee, S., Oh, H., Kang, J., Hur, W., Park, H., Hwang, W.: Taxation perspectives from large language models: A case study on additional tax penalties. In: Proceedings of EACL 2026 (Volume 1: Long Papers), pp. 4702-4726. ACL (2026)</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aclanthology.org/2026.eacl-long.218</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ACL Anthology entry and arXiv:2503.03444</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published version found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baseline tax-law ability limited on hard cases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27</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Our Wealth Insights: Financial literacy data by country (web article,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 blog summarising the S&amp;P Global FinLit survey</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Replaced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Cite S1, the survey itself. The point stays.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28</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 hybrid RAG-LLaMA framework for scalable and accurate interpretation of legal texts", Applied Artificial Intelligence (2026), no authors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none found</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Exact title not found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Not found, dropped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Not needed: N15 and N11 cover the legal and Indian-tax side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29</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Coinlaw: Financial literacy statistics 2026 (statistics aggregator)</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Its figures trace to S1 and ref 2</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Merged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Cite ref 2 and S1 instead. Nothing lost.</w:t>
            </w:r>
          </w:p>
        </w:tc>
      </w:tr>
    </w:tbl>
    <w:p>
      <w:pPr>
        <w:pStyle w:val="Heading2"/>
        <w:spacing w:after="120" w:before="240"/>
      </w:pPr>
      <w:r>
        <w:rPr>
          <w:rFonts w:ascii="Arial" w:cs="Arial" w:eastAsia="Arial" w:hAnsi="Arial"/>
        </w:rPr>
        <w:t xml:space="preserve">B. Stand-ins for weak or unfound references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2500"/>
        <w:gridCol w:w="2700"/>
        <w:gridCol w:w="1400"/>
        <w:gridCol w:w="3098"/>
      </w:tblGrid>
      <w:tr>
        <w:trPr>
          <w:tblHeader/>
        </w:trPr>
        <w:tc>
          <w:tcPr>
            <w:tcW w:type="dxa" w:w="7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ID</w:t>
            </w:r>
          </w:p>
        </w:tc>
        <w:tc>
          <w:tcPr>
            <w:tcW w:type="dxa" w:w="50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Citation (Springer style)</w:t>
            </w:r>
          </w:p>
        </w:tc>
        <w:tc>
          <w:tcPr>
            <w:tcW w:type="dxa" w:w="25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DOI or link</w:t>
            </w:r>
          </w:p>
        </w:tc>
        <w:tc>
          <w:tcPr>
            <w:tcW w:type="dxa" w:w="27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How it was checked</w:t>
            </w:r>
          </w:p>
        </w:tc>
        <w:tc>
          <w:tcPr>
            <w:tcW w:type="dxa" w:w="14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Status</w:t>
            </w:r>
          </w:p>
        </w:tc>
        <w:tc>
          <w:tcPr>
            <w:tcW w:type="dxa" w:w="3098"/>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What the paper uses it for</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S1</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Klapper, L., Lusardi, A., van Oudheusden, P.: Financial Literacy Around the World: Insights from the Standard &amp; Poor's Ratings Services Global Financial Literacy Survey. World Bank and GFLEC (2015)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gflec.org/wp-content/uploads/2015/11/Finlit_paper_16_F2_singles.pdf</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Read the report: 33% of adults worldwide financially literate (p. 7); India 24% (p. 8 and country table, p. 23). 150,000+ adults, 140+ economies, 2014.</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India 24%, world one in three. Replaces refs 27 and 29.</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S2</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Agarwalla, S.K., Barua, S.K., Jacob, J., Varma, J.R.: Financial literacy among working young in urban India. World Development 67, 101-109 (2015)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doi:10.1016/j.worlddev.2014.10.004</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RePEc journal record and IIM Ahmedabad working paper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well-educated working young in urban India still lack financial literacy. Our exact audience.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S3</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Arjun, T.P., Subramanian, R.: Defining and measuring financial literacy in the Indian context: A systematic literature review. Managerial Finance 50(7), 1247-1269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doi:10.1108/MF-08-2022-0358</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Emerald article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how Indian studies define and measure financial literacy</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S4</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Guo, T., Chen, X., Wang, Y., Chang, R., Pei, S., Chawla, N.V., Wiest, O., Zhang, X.: Large language model based multi-agents: A survey of progress and challenges. In: Proceedings of IJCAI 2024 (2024)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arXiv:2402.01680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IJCAI 2024 listing with author list. Pages and DOI still to add.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via citing record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the Guo et al. survey our list meant to cite</w:t>
            </w:r>
          </w:p>
        </w:tc>
      </w:tr>
    </w:tbl>
    <w:p>
      <w:pPr>
        <w:pStyle w:val="Heading2"/>
        <w:spacing w:after="120" w:before="240"/>
      </w:pPr>
      <w:r>
        <w:rPr>
          <w:rFonts w:ascii="Arial" w:cs="Arial" w:eastAsia="Arial" w:hAnsi="Arial"/>
        </w:rPr>
        <w:t xml:space="preserve">C. New references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2500"/>
        <w:gridCol w:w="2700"/>
        <w:gridCol w:w="1400"/>
        <w:gridCol w:w="3098"/>
      </w:tblGrid>
      <w:tr>
        <w:trPr>
          <w:tblHeader/>
        </w:trPr>
        <w:tc>
          <w:tcPr>
            <w:tcW w:type="dxa" w:w="7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ID</w:t>
            </w:r>
          </w:p>
        </w:tc>
        <w:tc>
          <w:tcPr>
            <w:tcW w:type="dxa" w:w="50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Citation (Springer style)</w:t>
            </w:r>
          </w:p>
        </w:tc>
        <w:tc>
          <w:tcPr>
            <w:tcW w:type="dxa" w:w="25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DOI or link</w:t>
            </w:r>
          </w:p>
        </w:tc>
        <w:tc>
          <w:tcPr>
            <w:tcW w:type="dxa" w:w="27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How it was checked</w:t>
            </w:r>
          </w:p>
        </w:tc>
        <w:tc>
          <w:tcPr>
            <w:tcW w:type="dxa" w:w="14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Status</w:t>
            </w:r>
          </w:p>
        </w:tc>
        <w:tc>
          <w:tcPr>
            <w:tcW w:type="dxa" w:w="3098"/>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What the paper uses it for</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N1</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Gao, L., Madaan, A., Zhou, S., Alon, U., Liu, P., Yang, Y., Callan, J., Neubig, G.: PAL: Program-aided language models. In: Proceedings of ICML 2023, PMLR 202, pp. 10764-10799 (2023)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proceedings.mlr.press/v202/gao23f.html</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PMLR proceedings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Closest prior idea. Models break problems down well but make arithmetic mistakes; PAL hands solving to an interpreter. Difference: the model still writes the program and its constants.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N2</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Chen, W., Ma, X., Wang, X., Cohen, W.W.: Program of thoughts prompting: Disentangling computation from reasoning for numerical reasoning tasks. Transactions on Machine Learning Research (2023)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openreview.net/forum?id=YfZ4ZPt8zd</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TMLR record and arXiv:2211.12588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Same family as PAL, tested on financial question sets too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N3</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Schick, T., Dwivedi-Yu, J., Dessi, R., Raileanu, R., Lomeli, M., Hambro, E., Zettlemoyer, L., Cancedda, N., Scialom, T.: Toolformer: Language models can teach themselves to use tools. In: Advances in Neural Information Processing Systems 36 (2023)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arXiv:2302.04761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NeurIPS proceedings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Models struggle with arithmetic; calculator as a tool. Difference: nothing forces the model to use it.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N4</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Mei, K., Zhu, X., Xu, W., Hua, W., Jin, M., Li, Z., Xu, S., Ye, R., Ge, Y., Zhang, Y.: AIOS: LLM agent operating system. In: Conference on Language Modeling (COLM 2025)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arXiv:2403.16971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paper, project note of COLM 2025 acceptance, citing record with full author list</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via project page</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Must cite: an OS-style kernel for agents, with an access manager. Difference: their kernel schedules model calls; ours owns the arithmetic.</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N5</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Packer, C., Wooders, S., Lin, K., Fang, V., Patil, S.G., Stoica, I., Gonzalez, J.E.: MemGPT: Towards LLMs as operating systems. arXiv:2310.08560 (2023)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arXiv:2310.08560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OS analogy for memory, managed by the model itself. In ours the kernel records memory from what actually ran.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N6</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Debenedetti, E., Shumailov, I., Fan, T., Hayes, J., Carlini, N., Fabian, D., Kern, C., Shi, C., Terzis, A., Tramer, F.: Defeating prompt injections by design. arXiv:2503.18813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arXiv:2503.18813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Precedent for guarantees by design rather than training: capabilities checked when tools are called. We apply the same thinking to numbers.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N7</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Rebedea, T., Dinu, R., Sreedhar, M.N., Parisien, C., Cohen, J.: NeMo Guardrails: A toolkit for controllable and safe LLM applications with programmable rails. In: Proceedings of EMNLP 2023: System Demonstrations, pp. 431-445. ACL (2023)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doi:10.18653/v1/2023.emnlp-demo.40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ACL Anthology entry</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Runtime rails outside the model. Ours is a narrow numeric check against tool output.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N8</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Huang, L., Yu, W., Ma, W., Zhong, W., Feng, Z., Wang, H., Chen, Q., Peng, W., Feng, X., Qin, B., Liu, T.: A survey on hallucination in large language models: Principles, taxonomy, challenges, and open questions. ACM Transactions on Information Systems 43(2), 1-55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doi:10.1145/3703155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 states TOIS acceptance and DOI; citing records give volume and pages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plausible but false output is a known general failure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N9</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Holzenberger, N., Blair-Stanek, A., Van Durme, B.: A dataset for statutory reasoning in tax law entailment and question answering. In: Proceedings of the Natural Legal Language Processing Workshop 2020, CEUR Workshop Proceedings 2645, pp. 31-38 (2020)</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arXiv:2005.05257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 DBLP, university record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Language models did poorly on US tax statutes while a hand-built rule system solved them. Early support for our split.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N10</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Pan, L., Albalak, A., Wang, X., Wang, W.Y.: Logic-LM: Empowering large language models with symbolic solvers for faithful logical reasoning. In: Findings of EMNLP 2023, pp. 3806-3824. ACL (2023)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doi:10.18653/v1/2023.findings-emnlp.248</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ACL Anthology entry</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Model translates, a symbolic solver infers. Difference: our solver's inputs come from the stored profile, not the model.</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N11</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Kordjamshidi, P., Aslan, S., Seshadri, M., Barrett, L., Santus, E.: Reasoners or translators? Contamination-aware evaluation and neuro-symbolic robustness on tax law. In: Proceedings of the First Workshop on Structured Understanding, Retrieval, and Generation in the LLM Era (SURGeLLM 2026), pp. 344-360. ACL (2026)</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aclanthology.org/2026.surgellm-1.23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ACL Anthology entry and arXiv:2605.16052</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Strongest recent support: tax-law scores inflated by training-data overlap; systems that separate language from rule execution are more robust.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N12</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Lakkaraju, K., Vuruma, S.K.R., Pallagani, V., Muppasani, B., Srivastava, B.: Can LLMs be good financial advisors?: An initial study in personal decision making for optimized outcomes. arXiv:2307.07422 (2023)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arXiv:2307.07422</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Abstract and introduction read. A later ICAIF 2023 version exists but could not be accessed, so it is not cited and its findings are not used.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ChatGPT and Bard on 13 personal-finance questions; fluent and plausible, but critical gaps in accuracy.</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N13</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Bock, M.R., Molisee, K., Ozer, Z., Shah, S.: TaxCalcBench: Evaluating frontier models on the tax calculation task. arXiv:2507.16126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arXiv:2507.16126</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arXiv page and method section</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arXiv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best direct evidence: given all inputs, frontier models computed fewer than a third of simplified US federal returns correctly (tax-table misuse, arithmetic, eligibility). Industry authors; US law.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N14</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Mehta, H., Jain, S., Mhatre, K., Jain, S., Khairnar, M.: Auto ITR: An automated Indian income tax return preparation system using hybrid rule-based and heuristic AI. International Journal of Engineering Research &amp; Technology 15(5) (2026)</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doi:10.5281/zenodo.20137267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Full text read. Rules compute both regimes (AY 2024-25); a chatbot answers from a curated knowledge base and falls back to a general model. No check of the model's replies against computed figures is described.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full text read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Related work: the nearest Indian system. Means the paper cannot claim to be the first rules-plus-chatbot tax tool for India. Low-tier venue; do not follow its own reference list.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N15</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Press Information Bureau, Ministry of Finance: Union Minister launches PRARAMBH 2026, Income Tax Department's nationwide awareness campaign on Income Tax Act, 2025. Press release, 20 March 2026</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pib.gov.in/PressReleasePage.aspx?PRID=2243196</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Official press release: the new Act takes effect 1 April 2026; the department announced its AI chatbot, Kar Saathi. Government broadcaster report confirms the launch.</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 (official source)</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Introduction: the tax department now runs its own AI assistant. Limitations: our rules are FY 2025-26 under the 1961 Act, the last year before the new Act.</w:t>
            </w:r>
          </w:p>
        </w:tc>
      </w:tr>
    </w:tbl>
    <w:p>
      <w:pPr>
        <w:pStyle w:val="Heading2"/>
        <w:spacing w:after="120" w:before="240"/>
      </w:pPr>
      <w:r>
        <w:rPr>
          <w:rFonts w:ascii="Arial" w:cs="Arial" w:eastAsia="Arial" w:hAnsi="Arial"/>
        </w:rPr>
        <w:t xml:space="preserve">D. Optional, only if space allows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2500"/>
        <w:gridCol w:w="2700"/>
        <w:gridCol w:w="1400"/>
        <w:gridCol w:w="3098"/>
      </w:tblGrid>
      <w:tr>
        <w:trPr>
          <w:tblHeader/>
        </w:trPr>
        <w:tc>
          <w:tcPr>
            <w:tcW w:type="dxa" w:w="7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ID</w:t>
            </w:r>
          </w:p>
        </w:tc>
        <w:tc>
          <w:tcPr>
            <w:tcW w:type="dxa" w:w="50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Citation (Springer style)</w:t>
            </w:r>
          </w:p>
        </w:tc>
        <w:tc>
          <w:tcPr>
            <w:tcW w:type="dxa" w:w="25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DOI or link</w:t>
            </w:r>
          </w:p>
        </w:tc>
        <w:tc>
          <w:tcPr>
            <w:tcW w:type="dxa" w:w="27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How it was checked</w:t>
            </w:r>
          </w:p>
        </w:tc>
        <w:tc>
          <w:tcPr>
            <w:tcW w:type="dxa" w:w="1400"/>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Status</w:t>
            </w:r>
          </w:p>
        </w:tc>
        <w:tc>
          <w:tcPr>
            <w:tcW w:type="dxa" w:w="3098"/>
            <w:tcBorders>
              <w:top w:val="single" w:color="BFBFBF" w:sz="4"/>
              <w:left w:val="single" w:color="BFBFBF" w:sz="4"/>
              <w:bottom w:val="single" w:color="BFBFBF" w:sz="4"/>
              <w:right w:val="single" w:color="BFBFBF" w:sz="4"/>
            </w:tcBorders>
            <w:shd w:fill="E7E6E6" w:color="auto" w:val="clear"/>
            <w:tcMar>
              <w:top w:type="dxa" w:w="60"/>
              <w:left w:type="dxa" w:w="90"/>
              <w:bottom w:type="dxa" w:w="60"/>
              <w:right w:type="dxa" w:w="90"/>
            </w:tcMar>
          </w:tcPr>
          <w:p>
            <w:r>
              <w:rPr>
                <w:rFonts w:ascii="Arial" w:cs="Arial" w:eastAsia="Arial" w:hAnsi="Arial"/>
                <w:b/>
                <w:bCs/>
                <w:sz w:val="16"/>
                <w:szCs w:val="16"/>
              </w:rPr>
              <w:t xml:space="preserve">What the paper uses it for</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O1</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Linge, A.A., Kakde, B.B., Jiwani, A.: Factors affecting financial literacy and financial behavior of working young adults in India. Indian Journal of Finance 19(11) (2025)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doi:10.17010/ijf/2025/v19i11/174049</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Journal article page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Extra support for the audience point, only if space allows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O2</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Kosireddy, T.R., Wall, J.D., Lucas, E.: Small language models for the democratization of financial literacy: Challenges and opportunities. In: Proceedings of the 2nd Workshop on Customizable NLP (CustomNLP4U), pp. 11-23. ACL (2026)</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aclanthology.org/2026.customnlp4u-1.2</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ACL Anthology entry</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Verified</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Follow-up to ref 21</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O3</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[Authors unknown]: AI-powered tax calculation and ITR suggestion system. International Research Journal on Advanced Engineering Hub (2026)</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irjaeh.com/index.php/journal/article/view/1353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Only the abstract, through a search listing; the journal site blocks automated reading</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Abstract only</w:t>
            </w:r>
          </w:p>
        </w:tc>
        <w:tc>
          <w:tcPr>
            <w:tcW w:type="dxa" w:w="30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val="false"/>
                <w:bCs w:val="false"/>
                <w:sz w:val="16"/>
                <w:szCs w:val="16"/>
              </w:rPr>
              <w:t xml:space="preserve">Another Indian rules-plus-LLM tool. Cite only if someone sends the citation and PDF.</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28"/>
      <w:szCs w:val="28"/>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2026-09-28T06:29:51.807Z</dcterms:created>
  <dcterms:modified xsi:type="dcterms:W3CDTF">2026-09-28T06:29:51.808Z</dcterms:modified>
</cp:coreProperties>
</file>

<file path=docProps/custom.xml><?xml version="1.0" encoding="utf-8"?>
<Properties xmlns="http://schemas.openxmlformats.org/officeDocument/2006/custom-properties" xmlns:vt="http://schemas.openxmlformats.org/officeDocument/2006/docPropsVTypes"/>
</file>