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SOFTWARE REQUIREMENTS SPECIFICATION</w:t>
      </w:r>
    </w:p>
    <w:p>
      <w:pPr>
        <w:jc w:val="center"/>
      </w:pPr>
      <w:r>
        <w:rPr>
          <w:i/>
        </w:rPr>
        <w:t>Feature Flag &amp; Dynamic Config Manager</w:t>
        <w:br/>
        <w:t>Problem Statement #43</w:t>
      </w:r>
    </w:p>
    <w:p>
      <w:pPr>
        <w:pStyle w:val="Heading1"/>
      </w:pPr>
      <w:r>
        <w:t>1. Introduction</w:t>
      </w:r>
    </w:p>
    <w:p>
      <w:pPr>
        <w:pStyle w:val="Heading2"/>
      </w:pPr>
      <w:r>
        <w:t>1.1 Purpose</w:t>
      </w:r>
    </w:p>
    <w:p>
      <w:r>
        <w:t>This document specifies the proposed requirements for a Feature Flag &amp; Dynamic Config Manager. It describes the system's intended capabilities, users, interfaces, constraints, and quality requirements so that the project can be designed and verified consistently.</w:t>
      </w:r>
    </w:p>
    <w:p>
      <w:pPr>
        <w:pStyle w:val="Heading2"/>
      </w:pPr>
      <w:r>
        <w:t>1.2 Scope</w:t>
      </w:r>
    </w:p>
    <w:p>
      <w:r>
        <w:t>The system is a centralized platform for managing feature flags and dynamic configuration. It is intended to let teams define flags, target selected users or cohorts, control percentage-based rollouts, configure environment-specific values, and propagate changes to connected client SDKs without requiring application redeployment.</w:t>
      </w:r>
    </w:p>
    <w:p>
      <w:pPr>
        <w:pStyle w:val="Heading2"/>
      </w:pPr>
      <w:r>
        <w:t>1.3 Definitions</w:t>
      </w:r>
    </w:p>
    <w:p>
      <w:r>
        <w:rPr>
          <w:b/>
        </w:rPr>
        <w:t xml:space="preserve">Feature flag: </w:t>
      </w:r>
      <w:r>
        <w:t>A named configuration that determines whether an application feature is enabled or disabled.</w:t>
      </w:r>
    </w:p>
    <w:p>
      <w:r>
        <w:rPr>
          <w:b/>
        </w:rPr>
        <w:t xml:space="preserve">Targeting rule: </w:t>
      </w:r>
      <w:r>
        <w:t>A condition used to decide which users or cohorts receive a flag state.</w:t>
      </w:r>
    </w:p>
    <w:p>
      <w:r>
        <w:rPr>
          <w:b/>
        </w:rPr>
        <w:t xml:space="preserve">Rollout: </w:t>
      </w:r>
      <w:r>
        <w:t>A controlled release of a feature to a selected percentage or cohort of users.</w:t>
      </w:r>
    </w:p>
    <w:p>
      <w:r>
        <w:rPr>
          <w:b/>
        </w:rPr>
        <w:t xml:space="preserve">Environment override: </w:t>
      </w:r>
      <w:r>
        <w:t>A flag value or setting configured independently for an environment such as Development, Testing, or Production.</w:t>
      </w:r>
    </w:p>
    <w:p>
      <w:r>
        <w:rPr>
          <w:b/>
        </w:rPr>
        <w:t xml:space="preserve">Client SDK: </w:t>
      </w:r>
      <w:r>
        <w:t>A software library integrated into an application to request flag evaluations and receive configuration updates.</w:t>
      </w:r>
    </w:p>
    <w:p>
      <w:pPr>
        <w:pStyle w:val="Heading1"/>
      </w:pPr>
      <w:r>
        <w:t>2. Overall Description</w:t>
      </w:r>
    </w:p>
    <w:p>
      <w:pPr>
        <w:pStyle w:val="Heading2"/>
      </w:pPr>
      <w:r>
        <w:t>2.1 Product Perspective</w:t>
      </w:r>
    </w:p>
    <w:p>
      <w:r>
        <w:t>The platform acts as a central configuration service used by management users and client applications. Management users update flags and rollout settings through the platform; client SDKs request evaluations and receive updated configuration states.</w:t>
      </w:r>
    </w:p>
    <w:p>
      <w:pPr>
        <w:pStyle w:val="Heading2"/>
      </w:pPr>
      <w:r>
        <w:t>2.2 User Classes</w:t>
      </w:r>
    </w:p>
    <w:p>
      <w:pPr>
        <w:pStyle w:val="ListBullet"/>
      </w:pPr>
      <w:r>
        <w:t>Software Engineer: creates and manages flags, defines targeting rules, configures environment overrides, and integrates the client SDK.</w:t>
      </w:r>
    </w:p>
    <w:p>
      <w:pPr>
        <w:pStyle w:val="ListBullet"/>
      </w:pPr>
      <w:r>
        <w:t>Release Manager: configures and monitors percentage-based rollouts and initiates rollbacks when needed.</w:t>
      </w:r>
    </w:p>
    <w:p>
      <w:pPr>
        <w:pStyle w:val="ListBullet"/>
      </w:pPr>
      <w:r>
        <w:t>Client SDK (external system actor): requests flag evaluations and receives configuration updates on behalf of an application.</w:t>
      </w:r>
    </w:p>
    <w:p>
      <w:pPr>
        <w:pStyle w:val="Heading2"/>
      </w:pPr>
      <w:r>
        <w:t>2.3 Operating Environment</w:t>
      </w:r>
    </w:p>
    <w:p>
      <w:r>
        <w:t>The project is specified as a software platform with a management interface, a flag-evaluation service, configuration storage, and client SDK integration. Specific programming languages, frameworks, hosting infrastructure, and database products are not prescribed in this SRS and may be selected during design.</w:t>
      </w:r>
    </w:p>
    <w:p>
      <w:pPr>
        <w:pStyle w:val="Heading2"/>
      </w:pPr>
      <w:r>
        <w:t>2.4 Constraints and Assumptions</w:t>
      </w:r>
    </w:p>
    <w:p>
      <w:pPr>
        <w:pStyle w:val="ListBullet"/>
      </w:pPr>
      <w:r>
        <w:t>Each feature flag has a unique identifier/key.</w:t>
      </w:r>
    </w:p>
    <w:p>
      <w:pPr>
        <w:pStyle w:val="ListBullet"/>
      </w:pPr>
      <w:r>
        <w:t>Targeting decisions depend on the configured rules and the evaluation request context.</w:t>
      </w:r>
    </w:p>
    <w:p>
      <w:pPr>
        <w:pStyle w:val="ListBullet"/>
      </w:pPr>
      <w:r>
        <w:t>Development, Testing, and Production configurations must be independently manageable.</w:t>
      </w:r>
    </w:p>
    <w:p>
      <w:pPr>
        <w:pStyle w:val="ListBullet"/>
      </w:pPr>
      <w:r>
        <w:t>The evaluation API target is under 15 ms, as specified in NFR-001; the measurement conditions should be defined during testing.</w:t>
      </w:r>
    </w:p>
    <w:p>
      <w:pPr>
        <w:pStyle w:val="ListBullet"/>
      </w:pPr>
      <w:r>
        <w:t>Real-time synchronization requires connected clients and an agreed synchronization mechanism/interval, to be finalized during design.</w:t>
      </w:r>
    </w:p>
    <w:p>
      <w:pPr>
        <w:pStyle w:val="Heading1"/>
      </w:pPr>
      <w:r>
        <w:t>3. Specific Requirements</w:t>
      </w:r>
    </w:p>
    <w:p>
      <w:pPr>
        <w:pStyle w:val="Heading2"/>
      </w:pPr>
      <w:r>
        <w:t>3.1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r>
              <w:rPr>
                <w:b/>
                <w:color w:val="FFFFFF"/>
              </w:rPr>
              <w:t>ID</w:t>
            </w:r>
          </w:p>
        </w:tc>
        <w:tc>
          <w:tcPr>
            <w:tcW w:type="dxa" w:w="5040"/>
            <w:shd w:fill="17365D"/>
            <w:vAlign w:val="center"/>
          </w:tcPr>
          <w:p>
            <w:r>
              <w:rPr>
                <w:b/>
                <w:color w:val="FFFFFF"/>
              </w:rPr>
              <w:t>Requirement</w:t>
            </w:r>
          </w:p>
        </w:tc>
      </w:tr>
      <w:tr>
        <w:tc>
          <w:tcPr>
            <w:tcW w:type="dxa" w:w="5040"/>
            <w:vAlign w:val="center"/>
          </w:tcPr>
          <w:p>
            <w:r>
              <w:t>FR-001</w:t>
            </w:r>
          </w:p>
        </w:tc>
        <w:tc>
          <w:tcPr>
            <w:tcW w:type="dxa" w:w="5040"/>
            <w:vAlign w:val="center"/>
          </w:tcPr>
          <w:p>
            <w:r>
              <w:t>The system shall evaluate user targeting rules (e.g., User ID hash, Beta cohort) and return accurate boolean feature flag states.</w:t>
            </w:r>
          </w:p>
        </w:tc>
      </w:tr>
      <w:tr>
        <w:tc>
          <w:tcPr>
            <w:tcW w:type="dxa" w:w="5040"/>
            <w:vAlign w:val="center"/>
          </w:tcPr>
          <w:p>
            <w:r>
              <w:t>FR-002</w:t>
            </w:r>
          </w:p>
        </w:tc>
        <w:tc>
          <w:tcPr>
            <w:tcW w:type="dxa" w:w="5040"/>
            <w:vAlign w:val="center"/>
          </w:tcPr>
          <w:p>
            <w:r>
              <w:t>The system shall allow authorized users to create, view, update, and deactivate feature flags, each with a unique identifier.</w:t>
            </w:r>
          </w:p>
        </w:tc>
      </w:tr>
      <w:tr>
        <w:tc>
          <w:tcPr>
            <w:tcW w:type="dxa" w:w="5040"/>
            <w:vAlign w:val="center"/>
          </w:tcPr>
          <w:p>
            <w:r>
              <w:t>FR-003</w:t>
            </w:r>
          </w:p>
        </w:tc>
        <w:tc>
          <w:tcPr>
            <w:tcW w:type="dxa" w:w="5040"/>
            <w:vAlign w:val="center"/>
          </w:tcPr>
          <w:p>
            <w:r>
              <w:t>The system shall allow Release Managers to configure percentage-based rollouts for selected user cohorts.</w:t>
            </w:r>
          </w:p>
        </w:tc>
      </w:tr>
      <w:tr>
        <w:tc>
          <w:tcPr>
            <w:tcW w:type="dxa" w:w="5040"/>
            <w:vAlign w:val="center"/>
          </w:tcPr>
          <w:p>
            <w:r>
              <w:t>FR-004</w:t>
            </w:r>
          </w:p>
        </w:tc>
        <w:tc>
          <w:tcPr>
            <w:tcW w:type="dxa" w:w="5040"/>
            <w:vAlign w:val="center"/>
          </w:tcPr>
          <w:p>
            <w:r>
              <w:t>The system shall support environment-specific configuration overrides for Development, Testing, and Production environments.</w:t>
            </w:r>
          </w:p>
        </w:tc>
      </w:tr>
      <w:tr>
        <w:tc>
          <w:tcPr>
            <w:tcW w:type="dxa" w:w="5040"/>
            <w:vAlign w:val="center"/>
          </w:tcPr>
          <w:p>
            <w:r>
              <w:t>FR-005</w:t>
            </w:r>
          </w:p>
        </w:tc>
        <w:tc>
          <w:tcPr>
            <w:tcW w:type="dxa" w:w="5040"/>
            <w:vAlign w:val="center"/>
          </w:tcPr>
          <w:p>
            <w:r>
              <w:t>The system shall synchronize updated feature flag states with connected client SDKs in real time.</w:t>
            </w:r>
          </w:p>
        </w:tc>
      </w:tr>
    </w:tbl>
    <w:p>
      <w:pPr>
        <w:pStyle w:val="Heading2"/>
      </w:pPr>
      <w:r>
        <w:t>3.2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Pr>
                <w:b/>
                <w:color w:val="FFFFFF"/>
              </w:rPr>
              <w:t>ID</w:t>
            </w:r>
          </w:p>
        </w:tc>
        <w:tc>
          <w:tcPr>
            <w:tcW w:type="dxa" w:w="3360"/>
            <w:shd w:fill="17365D"/>
            <w:vAlign w:val="center"/>
          </w:tcPr>
          <w:p>
            <w:r>
              <w:rPr>
                <w:b/>
                <w:color w:val="FFFFFF"/>
              </w:rPr>
              <w:t>Type</w:t>
            </w:r>
          </w:p>
        </w:tc>
        <w:tc>
          <w:tcPr>
            <w:tcW w:type="dxa" w:w="3360"/>
            <w:shd w:fill="17365D"/>
            <w:vAlign w:val="center"/>
          </w:tcPr>
          <w:p>
            <w:r>
              <w:rPr>
                <w:b/>
                <w:color w:val="FFFFFF"/>
              </w:rPr>
              <w:t>Requirement</w:t>
            </w:r>
          </w:p>
        </w:tc>
      </w:tr>
      <w:tr>
        <w:tc>
          <w:tcPr>
            <w:tcW w:type="dxa" w:w="3360"/>
            <w:vAlign w:val="center"/>
          </w:tcPr>
          <w:p>
            <w:r>
              <w:t>NFR-001</w:t>
            </w:r>
          </w:p>
        </w:tc>
        <w:tc>
          <w:tcPr>
            <w:tcW w:type="dxa" w:w="3360"/>
            <w:vAlign w:val="center"/>
          </w:tcPr>
          <w:p>
            <w:r>
              <w:t>Performance &amp; Security</w:t>
            </w:r>
          </w:p>
        </w:tc>
        <w:tc>
          <w:tcPr>
            <w:tcW w:type="dxa" w:w="3360"/>
            <w:vAlign w:val="center"/>
          </w:tcPr>
          <w:p>
            <w:r>
              <w:t>The feature flag evaluation API must execute in under 15 ms to minimize overhead when integrated into client critical paths. Security expectations and benchmark conditions must be defined and verified during testing.</w:t>
            </w:r>
          </w:p>
        </w:tc>
      </w:tr>
      <w:tr>
        <w:tc>
          <w:tcPr>
            <w:tcW w:type="dxa" w:w="3360"/>
            <w:vAlign w:val="center"/>
          </w:tcPr>
          <w:p>
            <w:r>
              <w:t>NFR-002</w:t>
            </w:r>
          </w:p>
        </w:tc>
        <w:tc>
          <w:tcPr>
            <w:tcW w:type="dxa" w:w="3360"/>
            <w:vAlign w:val="center"/>
          </w:tcPr>
          <w:p>
            <w:r>
              <w:t>Security</w:t>
            </w:r>
          </w:p>
        </w:tc>
        <w:tc>
          <w:tcPr>
            <w:tcW w:type="dxa" w:w="3360"/>
            <w:vAlign w:val="center"/>
          </w:tcPr>
          <w:p>
            <w:r>
              <w:t>The system shall restrict feature-flag and configuration-management operations to authenticated users with appropriate permissions.</w:t>
            </w:r>
          </w:p>
        </w:tc>
      </w:tr>
    </w:tbl>
    <w:p>
      <w:pPr>
        <w:pStyle w:val="Heading1"/>
      </w:pPr>
      <w:r>
        <w:t>4. External Interface Requirements</w:t>
      </w:r>
    </w:p>
    <w:p>
      <w:pPr>
        <w:pStyle w:val="Heading2"/>
      </w:pPr>
      <w:r>
        <w:t>4.1 User Interface</w:t>
      </w:r>
    </w:p>
    <w:p>
      <w:r>
        <w:t>The management interface should provide views and actions for creating, viewing, updating, and deactivating flags; configuring targeting and environment overrides; and setting and monitoring rollouts. Exact screen layouts are outside the current scope.</w:t>
      </w:r>
    </w:p>
    <w:p>
      <w:pPr>
        <w:pStyle w:val="Heading2"/>
      </w:pPr>
      <w:r>
        <w:t>4.2 Software Interfaces</w:t>
      </w:r>
    </w:p>
    <w:p>
      <w:r>
        <w:t>The system shall expose a client-facing evaluation interface for SDK requests and a management interface for authorized configuration operations. The protocol, endpoint format, authentication mechanism, and SDK update transport are design decisions to be specified before implementation.</w:t>
      </w:r>
    </w:p>
    <w:p>
      <w:pPr>
        <w:pStyle w:val="Heading1"/>
      </w:pPr>
      <w:r>
        <w:t>5. Use Cases</w:t>
      </w:r>
    </w:p>
    <w:p>
      <w:pPr>
        <w:pStyle w:val="ListBullet"/>
      </w:pPr>
      <w:r>
        <w:t>UC-01 Manage Feature Flags</w:t>
      </w:r>
    </w:p>
    <w:p>
      <w:pPr>
        <w:pStyle w:val="ListBullet"/>
      </w:pPr>
      <w:r>
        <w:t>UC-02 Configure Targeting Rules</w:t>
      </w:r>
    </w:p>
    <w:p>
      <w:pPr>
        <w:pStyle w:val="ListBullet"/>
      </w:pPr>
      <w:r>
        <w:t>UC-03 Evaluate Feature Flag</w:t>
      </w:r>
    </w:p>
    <w:p>
      <w:pPr>
        <w:pStyle w:val="ListBullet"/>
      </w:pPr>
      <w:r>
        <w:t>UC-04 Configure Percentage Rollout</w:t>
      </w:r>
    </w:p>
    <w:p>
      <w:pPr>
        <w:pStyle w:val="ListBullet"/>
      </w:pPr>
      <w:r>
        <w:t>UC-05 Manage Environment Overrides</w:t>
      </w:r>
    </w:p>
    <w:p>
      <w:pPr>
        <w:pStyle w:val="ListBullet"/>
      </w:pPr>
      <w:r>
        <w:t>UC-06 Synchronize Client SDK</w:t>
      </w:r>
    </w:p>
    <w:p>
      <w:pPr>
        <w:pStyle w:val="ListBullet"/>
      </w:pPr>
      <w:r>
        <w:t>UC-07 Monitor Rollout</w:t>
      </w:r>
    </w:p>
    <w:p>
      <w:pPr>
        <w:pStyle w:val="ListBullet"/>
      </w:pPr>
      <w:r>
        <w:t>Supporting use cases: Validate Targeting Rules; Roll Back Rollout.</w:t>
      </w:r>
    </w:p>
    <w:p>
      <w:pPr>
        <w:pStyle w:val="Heading1"/>
      </w:pPr>
      <w:r>
        <w:t>6. Verification and Traceability</w:t>
      </w:r>
    </w:p>
    <w:p>
      <w:r>
        <w:t>Each requirement is associated with a verification activity in the Requirements Traceability Matrix (RTM). The RTM is maintained in the companion Requirements and RTM workbook. Test cases are planned activities and must not be marked passed until executed and supported by results.</w:t>
      </w:r>
    </w:p>
    <w:p>
      <w:pPr>
        <w:pStyle w:val="Heading1"/>
      </w:pPr>
      <w:r>
        <w:t>7. Items to Be Finalized</w:t>
      </w:r>
    </w:p>
    <w:p>
      <w:pPr>
        <w:pStyle w:val="ListBullet"/>
      </w:pPr>
      <w:r>
        <w:t>Define the exact benchmark load, hardware/runtime environment, and latency measurement method for NFR-001.</w:t>
      </w:r>
    </w:p>
    <w:p>
      <w:pPr>
        <w:pStyle w:val="ListBullet"/>
      </w:pPr>
      <w:r>
        <w:t>Specify the authentication and role-permission model for management actions.</w:t>
      </w:r>
    </w:p>
    <w:p>
      <w:pPr>
        <w:pStyle w:val="ListBullet"/>
      </w:pPr>
      <w:r>
        <w:t>Define the precise behavior when a flag is missing, evaluation context is incomplete, or the service is unavailable.</w:t>
      </w:r>
    </w:p>
    <w:p>
      <w:pPr>
        <w:pStyle w:val="ListBullet"/>
      </w:pPr>
      <w:r>
        <w:t>Define the synchronization mechanism and acceptable propagation interval for client SDK updates.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