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72B4D"/>
          <w:sz w:val="21"/>
        </w:rPr>
        <w:t>PES UNIVERSITY • DEPT. OF COMPUTER SCIENCE AND ENGINEERING</w:t>
      </w:r>
    </w:p>
    <w:p>
      <w:pPr>
        <w:spacing w:after="80"/>
      </w:pPr>
      <w:r>
        <w:rPr>
          <w:b/>
          <w:color w:val="0052CC"/>
          <w:sz w:val="32"/>
        </w:rPr>
        <w:t>Lab 2: Agile Backlog Creation &amp; Sprint Simulation in Jira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Student Name: Nagashri R Patil</w:t>
            </w:r>
          </w:p>
        </w:tc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SRN: PES1UG24CS289</w:t>
            </w:r>
          </w:p>
        </w:tc>
      </w:tr>
      <w:tr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Problem Statement: #43 – Feature Flag &amp; Dynamic Config</w:t>
            </w:r>
          </w:p>
        </w:tc>
        <w:tc>
          <w:tcPr>
            <w:tcW w:type="dxa" w:w="4320"/>
            <w:shd w:fill="F4F5F7"/>
          </w:tcPr>
          <w:p>
            <w:r>
              <w:rPr>
                <w:b/>
                <w:sz w:val="18"/>
              </w:rPr>
              <w:t>Course: Software Engineering Lab (Lab 2)</w:t>
            </w:r>
          </w:p>
        </w:tc>
      </w:tr>
    </w:tbl>
    <w:p>
      <w:pPr>
        <w:spacing w:after="160"/>
      </w:pPr>
    </w:p>
    <w:p>
      <w:r>
        <w:t>Master Laboratory Report combining Epics Architecture, User Stories Catalog, Sprint Simulation, Burndown Analytics, and Reflection Questions.</w:t>
      </w:r>
    </w:p>
    <w:p>
      <w:r>
        <w:rPr>
          <w:b/>
        </w:rPr>
        <w:t>1. Epics Architecture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Epic ID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Epic Summary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Scope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Traceability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FFM-EPIC-1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Flag Lifecycle &amp; Metadata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Flag CRUD, metadata, multi-env overrides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FR-002, FR-004, UC-01, UC-04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FFM-EPIC-2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Targeting &amp; Percentage Rollout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Deterministic hashing, attribute targeting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FR-001, FR-003, UC-02, UC-03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FFM-EPIC-3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Governance, Approval &amp; Audit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Approval gate, visual diff, audit logging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UC-06, UC-07, NFR-002</w:t>
            </w:r>
          </w:p>
        </w:tc>
      </w:tr>
      <w:tr>
        <w:tc>
          <w:tcPr>
            <w:tcW w:type="dxa" w:w="172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FFM-EPIC-4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Low-Latency Evaluation &amp; SDK</w:t>
            </w:r>
          </w:p>
        </w:tc>
        <w:tc>
          <w:tcPr>
            <w:tcW w:type="dxa" w:w="316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Sub-15ms p95, real-time WebSocket sync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FR-005, NFR-001, UC-05, UC-03</w:t>
            </w:r>
          </w:p>
        </w:tc>
      </w:tr>
    </w:tbl>
    <w:p>
      <w:pPr>
        <w:spacing w:before="240"/>
      </w:pPr>
      <w:r>
        <w:rPr>
          <w:b/>
        </w:rPr>
        <w:t>2. User Stories Catalog (10 Stories)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Epic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User Story Statement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Priority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Pts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Sprint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0052CC"/>
          </w:tcPr>
          <w:p>
            <w:pPr>
              <w:spacing w:before="40" w:after="40"/>
            </w:pPr>
            <w:r>
              <w:rPr>
                <w:b/>
                <w:color w:val="FFFFFF"/>
                <w:sz w:val="19"/>
              </w:rPr>
              <w:t>Acceptance Criteria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US-01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FFM-EPIC-1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to create a feature flag with a unique key, description, and default state, so that client apps can reference the flag unambiguously.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Pass: Duplicate key triggers 409 conflict; unique key registers &lt; 2s.</w:t>
              <w:br/>
              <w:t>Fail: Duplicate keys accepted.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US-02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FFM-EPIC-2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to configure a percentage rollout (0-100%) based on a deterministic hash of user IDs, so that I can gradually roll out features and limit blast radius.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Pass: 25% rollout allocates 25% (±2%) of 10,000 simulated IDs; hash mapping is strictly deterministic.</w:t>
              <w:br/>
              <w:t>Fail: User changes cohort across evaluations.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US-03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FFM-EPIC-2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to evaluate user targeting rules for specific cohorts, so that targeted users receive early feature access.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Pass: User matching targeted attribute receives true; non-targeted user receives fallback.</w:t>
              <w:br/>
              <w:t>Fail: Non-targeted user receives feature.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US-04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FFM-EPIC-4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the evaluation API to execute in under 15ms, so that embedding flag checks into critical paths adds negligible latency.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Pass: p95 latency under simulated peak load is &lt; 15ms; in-memory cache lookup avoids disk I/O.</w:t>
              <w:br/>
              <w:t>Fail: Evaluation p95 exceeds 15ms.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US-05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FFM-EPIC-4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As a Client SDK Developer, I want the SDK to maintain a local in-memory cache with fallback defaults, so that network partitions do not break host application features.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Sprint 1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Pass: In-memory evaluations return in &lt; 1ms during offline conditions; graceful fallback.</w:t>
              <w:br/>
              <w:t>Fail: Application blocks on network drop.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US-06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FFM-EPIC-1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to define environment-specific overrides (Dev, Staging, Prod), so that I can test flags in lower environments without exposing code in Prod.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Pass: Prod override set to OFF while Staging is ON returns false for Prod and true for Staging.</w:t>
              <w:br/>
              <w:t>Fail: Overrides leak between environments.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US-07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FFM-EPIC-3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As a Software Engineer, I want to save changes as pending drafts and preview a visual diff, so that I can verify proposed modifications before requesting approval.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Medium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Pass: Draft changes do not alter runtime configurations; diff clearly highlights altered rules.</w:t>
              <w:br/>
              <w:t>Fail: Draft changes alter live evaluations.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US-08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FFM-EPIC-3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As a Release Manager, I want to review, approve, or reject pending flag changes with validation checks, so that invalid configs never reach production.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Pass: Only authenticated Release Managers can publish; invalid rules (rollout &gt;100%) rejected.</w:t>
              <w:br/>
              <w:t>Fail: Unauthorized user publishes changes.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US-09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FFM-EPIC-3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As a Release Manager, I want all configuration changes logged in an immutable audit trail with one-click rollback, so that actions are auditable and regressions revert instantly.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40" w:after="40"/>
            </w:pPr>
            <w:r>
              <w:rPr>
                <w:sz w:val="18"/>
              </w:rPr>
              <w:t>Pass: Tamper-proof audit record created for every publish; one-click rollback restores prior state &lt; 3s.</w:t>
              <w:br/>
              <w:t>Fail: Change occurs without audit entry.</w:t>
            </w:r>
          </w:p>
        </w:tc>
      </w:tr>
      <w:tr>
        <w:tc>
          <w:tcPr>
            <w:tcW w:type="dxa" w:w="86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US-10</w:t>
            </w:r>
          </w:p>
        </w:tc>
        <w:tc>
          <w:tcPr>
            <w:tcW w:type="dxa" w:w="144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FFM-EPIC-4</w:t>
            </w:r>
          </w:p>
        </w:tc>
        <w:tc>
          <w:tcPr>
            <w:tcW w:type="dxa" w:w="3456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As a Client SDK Developer, I want updated flag states streamed via WebSockets in real time, so that clients update within 5 seconds without redeployment.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High</w:t>
            </w:r>
          </w:p>
        </w:tc>
        <w:tc>
          <w:tcPr>
            <w:tcW w:type="dxa" w:w="720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5</w:t>
            </w:r>
          </w:p>
        </w:tc>
        <w:tc>
          <w:tcPr>
            <w:tcW w:type="dxa" w:w="1008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Sprint 2</w:t>
            </w:r>
          </w:p>
        </w:tc>
        <w:tc>
          <w:tcPr>
            <w:tcW w:type="dxa" w:w="2304"/>
            <w:tcMar>
              <w:top w:w="120" w:type="dxa"/>
              <w:bottom w:w="120" w:type="dxa"/>
              <w:left w:w="160" w:type="dxa"/>
              <w:right w:w="160" w:type="dxa"/>
            </w:tcMar>
            <w:shd w:fill="FAFBFC"/>
          </w:tcPr>
          <w:p>
            <w:pPr>
              <w:spacing w:before="40" w:after="40"/>
            </w:pPr>
            <w:r>
              <w:rPr>
                <w:sz w:val="18"/>
              </w:rPr>
              <w:t>Pass: 95% of active SDK connections receive updates within 5s; automatic reconnect upon drop.</w:t>
              <w:br/>
              <w:t>Fail: Clients take &gt; 30s to synchronize.</w:t>
            </w:r>
          </w:p>
        </w:tc>
      </w:tr>
    </w:tbl>
    <w:p>
      <w:pPr>
        <w:spacing w:before="240"/>
      </w:pPr>
      <w:r>
        <w:rPr>
          <w:b/>
        </w:rPr>
        <w:t>3. Reflection Questions</w:t>
      </w:r>
    </w:p>
    <w:p>
      <w:r>
        <w:rPr>
          <w:b/>
          <w:color w:val="0052CC"/>
        </w:rPr>
        <w:t>1. Did your estimations reflect the actual effort?</w:t>
      </w:r>
    </w:p>
    <w:p>
      <w:r>
        <w:t>Yes. Relative estimation using the Fibonacci sequence accurately captured development complexity, technical risk, and testing effort. Low-uncertainty CRUD items (e.g. US-01, 3 pts) progressed quickly without blockers. Algorithmic stories (e.g. US-02 deterministic hashing and US-09 cryptographic audit logging, 5 pts each) accounted for statistical cohort validation and transaction integrity testing. High-risk performance engineering (US-04 sub-15ms evaluation latency, 8 pts) correctly mirrored the iterative profiling, memory caching, and benchmark tuning needed to fulfill NFR-001. Abstracting effort into story points rather than calendar hours protected the team from false precision and Parkinson’s Law.</w:t>
      </w:r>
    </w:p>
    <w:p>
      <w:r>
        <w:rPr>
          <w:b/>
          <w:color w:val="0052CC"/>
        </w:rPr>
        <w:t>2. Was your backlog well-prioritized?</w:t>
      </w:r>
    </w:p>
    <w:p>
      <w:r>
        <w:t>Yes. Backlog prioritization followed architectural dependency sequencing and risk-reduction principles. Core flag creation (US-01) and deterministic evaluation (US-02, US-03) were scheduled at the top of Sprint 1 because downstream approval gates and WebSocket sync require a stable evaluation core to operate upon. Furthermore, scheduling the high-risk performance optimization (US-04) in Sprint 1 eliminated architectural risk early. Enterprise governance, environment isolation, and real-time streaming were layered cleanly in Sprint 2, creating a resilient MVP progression.</w:t>
      </w:r>
    </w:p>
    <w:p>
      <w:r>
        <w:rPr>
          <w:b/>
          <w:color w:val="0052CC"/>
        </w:rPr>
        <w:t>3. How did your simulated sprint align with your plan?</w:t>
      </w:r>
    </w:p>
    <w:p>
      <w:r>
        <w:t>The simulated sprints closely matched planned execution. In Sprint 1, 24 planned points were delivered across 5 user stories with zero scope creep. In Sprint 2, all 23 points were completed. Pacing was disciplined: smaller 3-point stories moved to Done early in both sprints, while complex 5-point and 8-point items progressed through comprehensive unit and load verification before transitioning to Done by Day 5. All sprint boundaries were protected against unplanned scope injections.</w:t>
      </w:r>
    </w:p>
    <w:p>
      <w:r>
        <w:rPr>
          <w:b/>
          <w:color w:val="0052CC"/>
        </w:rPr>
        <w:t>4. What insights did the burndown chart give about your team's capacity?</w:t>
      </w:r>
    </w:p>
    <w:p>
      <w:r>
        <w:t>Jira's Burndown Chart revealed three key operational insights: (1) Predictable Capacity: Completing 24 points in Sprint 1 and 23 points in Sprint 2 established that the team has a reliable, sustainable velocity of ~23–24 points per 1-week sprint. (2) Story Sizing &amp; Burndown Trajectory: Large work items (e.g. 8-point US-04) create step-like burndown plateaus because points only burn upon complete verification. Decomposing 8-point stories into smaller 3-point slices in future sprints will yield a smoother burndown curve. (3) Discipline &amp; Zero Scope Creep: The absence of upward spikes on the remaining values line confirmed strict sprint backlog discipline without uncommitted task creep.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