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E3A8A"/>
          <w:sz w:val="44"/>
        </w:rPr>
        <w:t>SOFTWARE REQUIREMENTS SPECIFICATION (SRS)</w:t>
      </w:r>
    </w:p>
    <w:p>
      <w:pPr>
        <w:jc w:val="center"/>
      </w:pPr>
      <w:r>
        <w:rPr>
          <w:rFonts w:ascii="Calibri" w:hAnsi="Calibri"/>
          <w:i/>
          <w:color w:val="475569"/>
          <w:sz w:val="24"/>
        </w:rPr>
        <w:t>Student Record System (EduTrack) - Academic Performance, Attendance &amp; Lifecycle Management Platform</w:t>
      </w:r>
    </w:p>
    <w:p>
      <w:pPr>
        <w:jc w:val="center"/>
      </w:pPr>
      <w:r>
        <w:rPr>
          <w:rFonts w:ascii="Calibri" w:hAnsi="Calibri"/>
          <w:b/>
          <w:color w:val="0F172A"/>
          <w:sz w:val="20"/>
        </w:rPr>
        <w:t>Standards Compliance: IEEE 830-1998 Recommended Practice | Deliverables Part-1 Baseline</w:t>
      </w:r>
    </w:p>
    <w:p/>
    <w:tbl>
      <w:tblPr>
        <w:tblW w:type="auto" w:w="0"/>
        <w:jc w:val="center"/>
        <w:tblLook w:firstColumn="1" w:firstRow="1" w:lastColumn="0" w:lastRow="0" w:noHBand="0" w:noVBand="1" w:val="04A0"/>
      </w:tblPr>
      <w:tblGrid>
        <w:gridCol w:w="4680"/>
        <w:gridCol w:w="4680"/>
      </w:tblGrid>
      <w:tr>
        <w:tc>
          <w:tcPr>
            <w:tcW w:type="dxa" w:w="4680"/>
            <w:shd w:fill="F1F5F9"/>
            <w:tcMar>
              <w:top w:w="50" w:type="dxa"/>
              <w:bottom w:w="50" w:type="dxa"/>
              <w:left w:w="100" w:type="dxa"/>
              <w:right w:w="100" w:type="dxa"/>
            </w:tcMar>
          </w:tcPr>
          <w:p>
            <w:r>
              <w:rPr>
                <w:b/>
                <w:sz w:val="19"/>
              </w:rPr>
              <w:t>Project Name</w:t>
            </w:r>
          </w:p>
        </w:tc>
        <w:tc>
          <w:tcPr>
            <w:tcW w:type="dxa" w:w="4680"/>
            <w:tcMar>
              <w:top w:w="50" w:type="dxa"/>
              <w:bottom w:w="50" w:type="dxa"/>
              <w:left w:w="100" w:type="dxa"/>
              <w:right w:w="100" w:type="dxa"/>
            </w:tcMar>
          </w:tcPr>
          <w:p>
            <w:r>
              <w:rPr>
                <w:sz w:val="19"/>
              </w:rPr>
              <w:t>Student Record System (EduTrack)</w:t>
            </w:r>
          </w:p>
        </w:tc>
      </w:tr>
      <w:tr>
        <w:tc>
          <w:tcPr>
            <w:tcW w:type="dxa" w:w="4680"/>
            <w:shd w:fill="F1F5F9"/>
            <w:tcMar>
              <w:top w:w="50" w:type="dxa"/>
              <w:bottom w:w="50" w:type="dxa"/>
              <w:left w:w="100" w:type="dxa"/>
              <w:right w:w="100" w:type="dxa"/>
            </w:tcMar>
          </w:tcPr>
          <w:p>
            <w:r>
              <w:rPr>
                <w:b/>
                <w:sz w:val="19"/>
              </w:rPr>
              <w:t>Specification Document</w:t>
            </w:r>
          </w:p>
        </w:tc>
        <w:tc>
          <w:tcPr>
            <w:tcW w:type="dxa" w:w="4680"/>
            <w:tcMar>
              <w:top w:w="50" w:type="dxa"/>
              <w:bottom w:w="50" w:type="dxa"/>
              <w:left w:w="100" w:type="dxa"/>
              <w:right w:w="100" w:type="dxa"/>
            </w:tcMar>
          </w:tcPr>
          <w:p>
            <w:r>
              <w:rPr>
                <w:sz w:val="19"/>
              </w:rPr>
              <w:t>1_SRS_StudentRecordSystem.docx (IEEE 830)</w:t>
            </w:r>
          </w:p>
        </w:tc>
      </w:tr>
      <w:tr>
        <w:tc>
          <w:tcPr>
            <w:tcW w:type="dxa" w:w="4680"/>
            <w:shd w:fill="F1F5F9"/>
            <w:tcMar>
              <w:top w:w="50" w:type="dxa"/>
              <w:bottom w:w="50" w:type="dxa"/>
              <w:left w:w="100" w:type="dxa"/>
              <w:right w:w="100" w:type="dxa"/>
            </w:tcMar>
          </w:tcPr>
          <w:p>
            <w:r>
              <w:rPr>
                <w:b/>
                <w:sz w:val="19"/>
              </w:rPr>
              <w:t>Document Version</w:t>
            </w:r>
          </w:p>
        </w:tc>
        <w:tc>
          <w:tcPr>
            <w:tcW w:type="dxa" w:w="4680"/>
            <w:tcMar>
              <w:top w:w="50" w:type="dxa"/>
              <w:bottom w:w="50" w:type="dxa"/>
              <w:left w:w="100" w:type="dxa"/>
              <w:right w:w="100" w:type="dxa"/>
            </w:tcMar>
          </w:tcPr>
          <w:p>
            <w:r>
              <w:rPr>
                <w:sz w:val="19"/>
              </w:rPr>
              <w:t>1.0 - Official Baseline</w:t>
            </w:r>
          </w:p>
        </w:tc>
      </w:tr>
      <w:tr>
        <w:tc>
          <w:tcPr>
            <w:tcW w:type="dxa" w:w="4680"/>
            <w:shd w:fill="F1F5F9"/>
            <w:tcMar>
              <w:top w:w="50" w:type="dxa"/>
              <w:bottom w:w="50" w:type="dxa"/>
              <w:left w:w="100" w:type="dxa"/>
              <w:right w:w="100" w:type="dxa"/>
            </w:tcMar>
          </w:tcPr>
          <w:p>
            <w:r>
              <w:rPr>
                <w:b/>
                <w:sz w:val="19"/>
              </w:rPr>
              <w:t>Date</w:t>
            </w:r>
          </w:p>
        </w:tc>
        <w:tc>
          <w:tcPr>
            <w:tcW w:type="dxa" w:w="4680"/>
            <w:tcMar>
              <w:top w:w="50" w:type="dxa"/>
              <w:bottom w:w="50" w:type="dxa"/>
              <w:left w:w="100" w:type="dxa"/>
              <w:right w:w="100" w:type="dxa"/>
            </w:tcMar>
          </w:tcPr>
          <w:p>
            <w:r>
              <w:rPr>
                <w:sz w:val="19"/>
              </w:rPr>
              <w:t>October 2026</w:t>
            </w:r>
          </w:p>
        </w:tc>
      </w:tr>
      <w:tr>
        <w:tc>
          <w:tcPr>
            <w:tcW w:type="dxa" w:w="4680"/>
            <w:shd w:fill="F1F5F9"/>
            <w:tcMar>
              <w:top w:w="50" w:type="dxa"/>
              <w:bottom w:w="50" w:type="dxa"/>
              <w:left w:w="100" w:type="dxa"/>
              <w:right w:w="100" w:type="dxa"/>
            </w:tcMar>
          </w:tcPr>
          <w:p>
            <w:r>
              <w:rPr>
                <w:b/>
                <w:sz w:val="19"/>
              </w:rPr>
              <w:t>Repository</w:t>
            </w:r>
          </w:p>
        </w:tc>
        <w:tc>
          <w:tcPr>
            <w:tcW w:type="dxa" w:w="4680"/>
            <w:tcMar>
              <w:top w:w="50" w:type="dxa"/>
              <w:bottom w:w="50" w:type="dxa"/>
              <w:left w:w="100" w:type="dxa"/>
              <w:right w:w="100" w:type="dxa"/>
            </w:tcMar>
          </w:tcPr>
          <w:p>
            <w:r>
              <w:rPr>
                <w:sz w:val="19"/>
              </w:rPr>
              <w:t>https://github.com/Nagashri2304/student-record-system</w:t>
            </w:r>
          </w:p>
        </w:tc>
      </w:tr>
      <w:tr>
        <w:tc>
          <w:tcPr>
            <w:tcW w:type="dxa" w:w="4680"/>
            <w:shd w:fill="F1F5F9"/>
            <w:tcMar>
              <w:top w:w="50" w:type="dxa"/>
              <w:bottom w:w="50" w:type="dxa"/>
              <w:left w:w="100" w:type="dxa"/>
              <w:right w:w="100" w:type="dxa"/>
            </w:tcMar>
          </w:tcPr>
          <w:p>
            <w:r>
              <w:rPr>
                <w:b/>
                <w:sz w:val="19"/>
              </w:rPr>
              <w:t>Project Team &amp; Roles</w:t>
            </w:r>
          </w:p>
        </w:tc>
        <w:tc>
          <w:tcPr>
            <w:tcW w:type="dxa" w:w="4680"/>
            <w:tcMar>
              <w:top w:w="50" w:type="dxa"/>
              <w:bottom w:w="50" w:type="dxa"/>
              <w:left w:w="100" w:type="dxa"/>
              <w:right w:w="100" w:type="dxa"/>
            </w:tcMar>
          </w:tcPr>
          <w:p>
            <w:r>
              <w:rPr>
                <w:sz w:val="19"/>
              </w:rPr>
              <w:t>Nagashree R Patil (@Nagashri2304) - Lead Architect &amp; Core Security</w:t>
              <w:br/>
              <w:t>Nidhi L (@nidhilokesh1) - Frontend Engineering &amp; UI</w:t>
              <w:br/>
              <w:t>Kushitha K (@Kushitha30) - Backend API &amp; Services</w:t>
              <w:br/>
              <w:t>Monika PM (@Monikapm19) - Database &amp; Quality Assurance</w:t>
            </w:r>
          </w:p>
        </w:tc>
      </w:tr>
    </w:tbl>
    <w:p>
      <w:r>
        <w:br w:type="page"/>
      </w:r>
    </w:p>
    <w:p>
      <w:pPr>
        <w:pStyle w:val="Heading1"/>
        <w:keepNext/>
        <w:spacing w:before="240" w:after="80"/>
      </w:pPr>
      <w:r>
        <w:rPr>
          <w:b/>
          <w:color w:val="1E3A8A"/>
          <w:sz w:val="30"/>
        </w:rPr>
        <w:t>1. Introduction</w:t>
      </w:r>
    </w:p>
    <w:p>
      <w:pPr>
        <w:pStyle w:val="Heading2"/>
        <w:keepNext/>
        <w:spacing w:before="240" w:after="80"/>
      </w:pPr>
      <w:r>
        <w:rPr>
          <w:b/>
          <w:color w:val="0F172A"/>
          <w:sz w:val="24"/>
        </w:rPr>
        <w:t>1.1 Purpose</w:t>
      </w:r>
    </w:p>
    <w:p>
      <w:r>
        <w:t>This Software Requirements Specification (SRS) document details the complete functional, non-functional, and interface specifications for the Student Record System (EduTrack), developed under IEEE 830-1998 guidelines. The system serves as an enterprise academic administration platform designed to centralize student profiling, continuous daily attendance tracking, automated threshold warning notifications, continuous assessment and examination mark recording, letter grade and SGPA/CGPA evaluation, formal grade card generation, and academic grievance processing.</w:t>
      </w:r>
    </w:p>
    <w:p>
      <w:pPr>
        <w:pStyle w:val="Heading2"/>
        <w:keepNext/>
        <w:spacing w:before="240" w:after="80"/>
      </w:pPr>
      <w:r>
        <w:rPr>
          <w:b/>
          <w:color w:val="0F172A"/>
          <w:sz w:val="24"/>
        </w:rPr>
        <w:t>1.2 Document Conventions</w:t>
      </w:r>
    </w:p>
    <w:p>
      <w:r>
        <w:t>This document follows standard IEEE 830 nomenclature. Requirement identifiers use standard prefixes:</w:t>
        <w:br/>
        <w:t>• FR-xx: Functional Requirements (Numbered FR-01 through FR-15)</w:t>
        <w:br/>
        <w:t>• NFR-xx: Non-Functional Requirements (Numbered NFR-01 through NFR-08)</w:t>
        <w:br/>
        <w:t>• UC-xx: UML Use Cases (Numbered UC-01 through UC-12)</w:t>
        <w:br/>
        <w:t>Priorities are classified as Critical (P1), High (P2), or Medium (P3).</w:t>
      </w:r>
    </w:p>
    <w:p>
      <w:pPr>
        <w:pStyle w:val="Heading2"/>
        <w:keepNext/>
        <w:spacing w:before="240" w:after="80"/>
      </w:pPr>
      <w:r>
        <w:rPr>
          <w:b/>
          <w:color w:val="0F172A"/>
          <w:sz w:val="24"/>
        </w:rPr>
        <w:t>1.3 Intended Audience and Reading Suggestions</w:t>
      </w:r>
    </w:p>
    <w:p>
      <w:r>
        <w:t>This document is authored for the academic evaluation committee, software engineering development team (Frontend, Backend, Database), independent verification &amp; validation (IV&amp;V) test engineers, and academic institutional stakeholders. It provides a formal contract defining the precise system boundaries and behavioral constraints.</w:t>
      </w:r>
    </w:p>
    <w:p>
      <w:pPr>
        <w:pStyle w:val="Heading2"/>
        <w:keepNext/>
        <w:spacing w:before="240" w:after="80"/>
      </w:pPr>
      <w:r>
        <w:rPr>
          <w:b/>
          <w:color w:val="0F172A"/>
          <w:sz w:val="24"/>
        </w:rPr>
        <w:t>1.4 Product Scope</w:t>
      </w:r>
    </w:p>
    <w:p>
      <w:r>
        <w:t>EduTrack eliminates manual paper registries, error-prone spreadsheet mark sheets, and delayed attendance notices. The web-based system delivers strict role-based access control (RBAC), ensuring students and parents access only authorized academic records while empowering instructors with automated grading engines and administrators with immutable audit logging.</w:t>
      </w:r>
    </w:p>
    <w:p>
      <w:pPr>
        <w:pStyle w:val="Heading1"/>
        <w:keepNext/>
        <w:spacing w:before="240" w:after="80"/>
      </w:pPr>
      <w:r>
        <w:rPr>
          <w:b/>
          <w:color w:val="1E3A8A"/>
          <w:sz w:val="30"/>
        </w:rPr>
        <w:t>2. Overall Description</w:t>
      </w:r>
    </w:p>
    <w:p>
      <w:pPr>
        <w:pStyle w:val="Heading2"/>
        <w:keepNext/>
        <w:spacing w:before="240" w:after="80"/>
      </w:pPr>
      <w:r>
        <w:rPr>
          <w:b/>
          <w:color w:val="0F172A"/>
          <w:sz w:val="24"/>
        </w:rPr>
        <w:t>2.1 Product Perspective</w:t>
      </w:r>
    </w:p>
    <w:p>
      <w:r>
        <w:t>EduTrack operates as a self-contained, 3-tier distributed web application comprising a modern Single Page Application (SPA) client layer (React.js), a stateless RESTful business API service layer (Python Django / Node.js Express), and an ACID-compliant relational data store (PostgreSQL 15+). The system integrates with external email/SMS gateways for automated threshold alerting and cryptographic PDF engines for transcript creation.</w:t>
      </w:r>
    </w:p>
    <w:p>
      <w:pPr>
        <w:pStyle w:val="Heading2"/>
        <w:keepNext/>
        <w:spacing w:before="240" w:after="80"/>
      </w:pPr>
      <w:r>
        <w:rPr>
          <w:b/>
          <w:color w:val="0F172A"/>
          <w:sz w:val="24"/>
        </w:rPr>
        <w:t>2.2 User Classes and Characteristics</w:t>
      </w:r>
    </w:p>
    <w:tbl>
      <w:tblPr>
        <w:tblW w:type="auto" w:w="0"/>
        <w:jc w:val="center"/>
        <w:tblLook w:firstColumn="1" w:firstRow="1" w:lastColumn="0" w:lastRow="0" w:noHBand="0" w:noVBand="1" w:val="04A0"/>
      </w:tblPr>
      <w:tblGrid>
        <w:gridCol w:w="2340"/>
        <w:gridCol w:w="2340"/>
        <w:gridCol w:w="2340"/>
        <w:gridCol w:w="2340"/>
      </w:tblGrid>
      <w:tr>
        <w:tc>
          <w:tcPr>
            <w:tcW w:type="dxa" w:w="1728"/>
            <w:shd w:fill="1E3A8A"/>
            <w:tcMar>
              <w:top w:w="120" w:type="dxa"/>
              <w:bottom w:w="120" w:type="dxa"/>
              <w:left w:w="140" w:type="dxa"/>
              <w:right w:w="140" w:type="dxa"/>
            </w:tcMar>
            <w:vAlign w:val="center"/>
          </w:tcPr>
          <w:p>
            <w:pPr>
              <w:jc w:val="left"/>
            </w:pPr>
            <w:r>
              <w:rPr>
                <w:rFonts w:ascii="Calibri" w:hAnsi="Calibri"/>
                <w:b/>
                <w:color w:val="FFFFFF"/>
                <w:sz w:val="19"/>
              </w:rPr>
              <w:t>User Role</w:t>
            </w:r>
          </w:p>
        </w:tc>
        <w:tc>
          <w:tcPr>
            <w:tcW w:type="dxa" w:w="2160"/>
            <w:shd w:fill="1E3A8A"/>
            <w:tcMar>
              <w:top w:w="120" w:type="dxa"/>
              <w:bottom w:w="120" w:type="dxa"/>
              <w:left w:w="140" w:type="dxa"/>
              <w:right w:w="140" w:type="dxa"/>
            </w:tcMar>
            <w:vAlign w:val="center"/>
          </w:tcPr>
          <w:p>
            <w:pPr>
              <w:jc w:val="left"/>
            </w:pPr>
            <w:r>
              <w:rPr>
                <w:rFonts w:ascii="Calibri" w:hAnsi="Calibri"/>
                <w:b/>
                <w:color w:val="FFFFFF"/>
                <w:sz w:val="19"/>
              </w:rPr>
              <w:t>Technical Acumen</w:t>
            </w:r>
          </w:p>
        </w:tc>
        <w:tc>
          <w:tcPr>
            <w:tcW w:type="dxa" w:w="3312"/>
            <w:shd w:fill="1E3A8A"/>
            <w:tcMar>
              <w:top w:w="120" w:type="dxa"/>
              <w:bottom w:w="120" w:type="dxa"/>
              <w:left w:w="140" w:type="dxa"/>
              <w:right w:w="140" w:type="dxa"/>
            </w:tcMar>
            <w:vAlign w:val="center"/>
          </w:tcPr>
          <w:p>
            <w:pPr>
              <w:jc w:val="left"/>
            </w:pPr>
            <w:r>
              <w:rPr>
                <w:rFonts w:ascii="Calibri" w:hAnsi="Calibri"/>
                <w:b/>
                <w:color w:val="FFFFFF"/>
                <w:sz w:val="19"/>
              </w:rPr>
              <w:t>Primary Responsibilities</w:t>
            </w:r>
          </w:p>
        </w:tc>
        <w:tc>
          <w:tcPr>
            <w:tcW w:type="dxa" w:w="2160"/>
            <w:shd w:fill="1E3A8A"/>
            <w:tcMar>
              <w:top w:w="120" w:type="dxa"/>
              <w:bottom w:w="120" w:type="dxa"/>
              <w:left w:w="140" w:type="dxa"/>
              <w:right w:w="140" w:type="dxa"/>
            </w:tcMar>
            <w:vAlign w:val="center"/>
          </w:tcPr>
          <w:p>
            <w:pPr>
              <w:jc w:val="left"/>
            </w:pPr>
            <w:r>
              <w:rPr>
                <w:rFonts w:ascii="Calibri" w:hAnsi="Calibri"/>
                <w:b/>
                <w:color w:val="FFFFFF"/>
                <w:sz w:val="19"/>
              </w:rPr>
              <w:t>Access Privilege</w:t>
            </w:r>
          </w:p>
        </w:tc>
      </w:tr>
      <w:tr>
        <w:tc>
          <w:tcPr>
            <w:tcW w:type="dxa" w:w="1728"/>
            <w:tcMar>
              <w:top w:w="70" w:type="dxa"/>
              <w:bottom w:w="70" w:type="dxa"/>
              <w:left w:w="100" w:type="dxa"/>
              <w:right w:w="100" w:type="dxa"/>
            </w:tcMar>
            <w:vAlign w:val="center"/>
          </w:tcPr>
          <w:p>
            <w:r>
              <w:rPr>
                <w:rFonts w:ascii="Calibri" w:hAnsi="Calibri"/>
                <w:sz w:val="18"/>
              </w:rPr>
              <w:t>Administrator</w:t>
            </w:r>
          </w:p>
        </w:tc>
        <w:tc>
          <w:tcPr>
            <w:tcW w:type="dxa" w:w="2160"/>
            <w:tcMar>
              <w:top w:w="70" w:type="dxa"/>
              <w:bottom w:w="70" w:type="dxa"/>
              <w:left w:w="100" w:type="dxa"/>
              <w:right w:w="100" w:type="dxa"/>
            </w:tcMar>
            <w:vAlign w:val="center"/>
          </w:tcPr>
          <w:p>
            <w:r>
              <w:rPr>
                <w:rFonts w:ascii="Calibri" w:hAnsi="Calibri"/>
                <w:sz w:val="18"/>
              </w:rPr>
              <w:t>High (IT Staff)</w:t>
            </w:r>
          </w:p>
        </w:tc>
        <w:tc>
          <w:tcPr>
            <w:tcW w:type="dxa" w:w="3312"/>
            <w:tcMar>
              <w:top w:w="70" w:type="dxa"/>
              <w:bottom w:w="70" w:type="dxa"/>
              <w:left w:w="100" w:type="dxa"/>
              <w:right w:w="100" w:type="dxa"/>
            </w:tcMar>
            <w:vAlign w:val="center"/>
          </w:tcPr>
          <w:p>
            <w:r>
              <w:rPr>
                <w:rFonts w:ascii="Calibri" w:hAnsi="Calibri"/>
                <w:sz w:val="18"/>
              </w:rPr>
              <w:t>User provisioning, department/course catalog setup, security policies, audit trail inspection</w:t>
            </w:r>
          </w:p>
        </w:tc>
        <w:tc>
          <w:tcPr>
            <w:tcW w:type="dxa" w:w="2160"/>
            <w:tcMar>
              <w:top w:w="70" w:type="dxa"/>
              <w:bottom w:w="70" w:type="dxa"/>
              <w:left w:w="100" w:type="dxa"/>
              <w:right w:w="100" w:type="dxa"/>
            </w:tcMar>
            <w:vAlign w:val="center"/>
          </w:tcPr>
          <w:p>
            <w:r>
              <w:rPr>
                <w:rFonts w:ascii="Calibri" w:hAnsi="Calibri"/>
                <w:sz w:val="18"/>
              </w:rPr>
              <w:t>Full System (Superuser)</w:t>
            </w:r>
          </w:p>
        </w:tc>
      </w:tr>
      <w:tr>
        <w:tc>
          <w:tcPr>
            <w:tcW w:type="dxa" w:w="1728"/>
            <w:shd w:fill="F8FAFC"/>
            <w:tcMar>
              <w:top w:w="70" w:type="dxa"/>
              <w:bottom w:w="70" w:type="dxa"/>
              <w:left w:w="100" w:type="dxa"/>
              <w:right w:w="100" w:type="dxa"/>
            </w:tcMar>
            <w:vAlign w:val="center"/>
          </w:tcPr>
          <w:p>
            <w:r>
              <w:rPr>
                <w:rFonts w:ascii="Calibri" w:hAnsi="Calibri"/>
                <w:sz w:val="18"/>
              </w:rPr>
              <w:t>Faculty / Instructor</w:t>
            </w:r>
          </w:p>
        </w:tc>
        <w:tc>
          <w:tcPr>
            <w:tcW w:type="dxa" w:w="2160"/>
            <w:shd w:fill="F8FAFC"/>
            <w:tcMar>
              <w:top w:w="70" w:type="dxa"/>
              <w:bottom w:w="70" w:type="dxa"/>
              <w:left w:w="100" w:type="dxa"/>
              <w:right w:w="100" w:type="dxa"/>
            </w:tcMar>
            <w:vAlign w:val="center"/>
          </w:tcPr>
          <w:p>
            <w:r>
              <w:rPr>
                <w:rFonts w:ascii="Calibri" w:hAnsi="Calibri"/>
                <w:sz w:val="18"/>
              </w:rPr>
              <w:t>Moderate (Academic)</w:t>
            </w:r>
          </w:p>
        </w:tc>
        <w:tc>
          <w:tcPr>
            <w:tcW w:type="dxa" w:w="3312"/>
            <w:shd w:fill="F8FAFC"/>
            <w:tcMar>
              <w:top w:w="70" w:type="dxa"/>
              <w:bottom w:w="70" w:type="dxa"/>
              <w:left w:w="100" w:type="dxa"/>
              <w:right w:w="100" w:type="dxa"/>
            </w:tcMar>
            <w:vAlign w:val="center"/>
          </w:tcPr>
          <w:p>
            <w:r>
              <w:rPr>
                <w:rFonts w:ascii="Calibri" w:hAnsi="Calibri"/>
                <w:sz w:val="18"/>
              </w:rPr>
              <w:t>Course session attendance logging, continuous assessment marks entry, grievance review</w:t>
            </w:r>
          </w:p>
        </w:tc>
        <w:tc>
          <w:tcPr>
            <w:tcW w:type="dxa" w:w="2160"/>
            <w:shd w:fill="F8FAFC"/>
            <w:tcMar>
              <w:top w:w="70" w:type="dxa"/>
              <w:bottom w:w="70" w:type="dxa"/>
              <w:left w:w="100" w:type="dxa"/>
              <w:right w:w="100" w:type="dxa"/>
            </w:tcMar>
            <w:vAlign w:val="center"/>
          </w:tcPr>
          <w:p>
            <w:r>
              <w:rPr>
                <w:rFonts w:ascii="Calibri" w:hAnsi="Calibri"/>
                <w:sz w:val="18"/>
              </w:rPr>
              <w:t>Course-Scoped Read/Write</w:t>
            </w:r>
          </w:p>
        </w:tc>
      </w:tr>
      <w:tr>
        <w:tc>
          <w:tcPr>
            <w:tcW w:type="dxa" w:w="1728"/>
            <w:tcMar>
              <w:top w:w="70" w:type="dxa"/>
              <w:bottom w:w="70" w:type="dxa"/>
              <w:left w:w="100" w:type="dxa"/>
              <w:right w:w="100" w:type="dxa"/>
            </w:tcMar>
            <w:vAlign w:val="center"/>
          </w:tcPr>
          <w:p>
            <w:r>
              <w:rPr>
                <w:rFonts w:ascii="Calibri" w:hAnsi="Calibri"/>
                <w:sz w:val="18"/>
              </w:rPr>
              <w:t>Student</w:t>
            </w:r>
          </w:p>
        </w:tc>
        <w:tc>
          <w:tcPr>
            <w:tcW w:type="dxa" w:w="2160"/>
            <w:tcMar>
              <w:top w:w="70" w:type="dxa"/>
              <w:bottom w:w="70" w:type="dxa"/>
              <w:left w:w="100" w:type="dxa"/>
              <w:right w:w="100" w:type="dxa"/>
            </w:tcMar>
            <w:vAlign w:val="center"/>
          </w:tcPr>
          <w:p>
            <w:r>
              <w:rPr>
                <w:rFonts w:ascii="Calibri" w:hAnsi="Calibri"/>
                <w:sz w:val="18"/>
              </w:rPr>
              <w:t>Moderate (Learner)</w:t>
            </w:r>
          </w:p>
        </w:tc>
        <w:tc>
          <w:tcPr>
            <w:tcW w:type="dxa" w:w="3312"/>
            <w:tcMar>
              <w:top w:w="70" w:type="dxa"/>
              <w:bottom w:w="70" w:type="dxa"/>
              <w:left w:w="100" w:type="dxa"/>
              <w:right w:w="100" w:type="dxa"/>
            </w:tcMar>
            <w:vAlign w:val="center"/>
          </w:tcPr>
          <w:p>
            <w:r>
              <w:rPr>
                <w:rFonts w:ascii="Calibri" w:hAnsi="Calibri"/>
                <w:sz w:val="18"/>
              </w:rPr>
              <w:t>View own timetable, check attendance percentages, inspect grades/GPA, submit grievance, download PDF cards</w:t>
            </w:r>
          </w:p>
        </w:tc>
        <w:tc>
          <w:tcPr>
            <w:tcW w:type="dxa" w:w="2160"/>
            <w:tcMar>
              <w:top w:w="70" w:type="dxa"/>
              <w:bottom w:w="70" w:type="dxa"/>
              <w:left w:w="100" w:type="dxa"/>
              <w:right w:w="100" w:type="dxa"/>
            </w:tcMar>
            <w:vAlign w:val="center"/>
          </w:tcPr>
          <w:p>
            <w:r>
              <w:rPr>
                <w:rFonts w:ascii="Calibri" w:hAnsi="Calibri"/>
                <w:sz w:val="18"/>
              </w:rPr>
              <w:t>Self-Record Read-Only</w:t>
            </w:r>
          </w:p>
        </w:tc>
      </w:tr>
      <w:tr>
        <w:tc>
          <w:tcPr>
            <w:tcW w:type="dxa" w:w="1728"/>
            <w:shd w:fill="F8FAFC"/>
            <w:tcMar>
              <w:top w:w="70" w:type="dxa"/>
              <w:bottom w:w="70" w:type="dxa"/>
              <w:left w:w="100" w:type="dxa"/>
              <w:right w:w="100" w:type="dxa"/>
            </w:tcMar>
            <w:vAlign w:val="center"/>
          </w:tcPr>
          <w:p>
            <w:r>
              <w:rPr>
                <w:rFonts w:ascii="Calibri" w:hAnsi="Calibri"/>
                <w:sz w:val="18"/>
              </w:rPr>
              <w:t>Parent / Guardian</w:t>
            </w:r>
          </w:p>
        </w:tc>
        <w:tc>
          <w:tcPr>
            <w:tcW w:type="dxa" w:w="2160"/>
            <w:shd w:fill="F8FAFC"/>
            <w:tcMar>
              <w:top w:w="70" w:type="dxa"/>
              <w:bottom w:w="70" w:type="dxa"/>
              <w:left w:w="100" w:type="dxa"/>
              <w:right w:w="100" w:type="dxa"/>
            </w:tcMar>
            <w:vAlign w:val="center"/>
          </w:tcPr>
          <w:p>
            <w:r>
              <w:rPr>
                <w:rFonts w:ascii="Calibri" w:hAnsi="Calibri"/>
                <w:sz w:val="18"/>
              </w:rPr>
              <w:t>Basic / General</w:t>
            </w:r>
          </w:p>
        </w:tc>
        <w:tc>
          <w:tcPr>
            <w:tcW w:type="dxa" w:w="3312"/>
            <w:shd w:fill="F8FAFC"/>
            <w:tcMar>
              <w:top w:w="70" w:type="dxa"/>
              <w:bottom w:w="70" w:type="dxa"/>
              <w:left w:w="100" w:type="dxa"/>
              <w:right w:w="100" w:type="dxa"/>
            </w:tcMar>
            <w:vAlign w:val="center"/>
          </w:tcPr>
          <w:p>
            <w:r>
              <w:rPr>
                <w:rFonts w:ascii="Calibri" w:hAnsi="Calibri"/>
                <w:sz w:val="18"/>
              </w:rPr>
              <w:t>Monitor linked student attendance percentages, receive shortage alerts, view published semester grade cards</w:t>
            </w:r>
          </w:p>
        </w:tc>
        <w:tc>
          <w:tcPr>
            <w:tcW w:type="dxa" w:w="2160"/>
            <w:shd w:fill="F8FAFC"/>
            <w:tcMar>
              <w:top w:w="70" w:type="dxa"/>
              <w:bottom w:w="70" w:type="dxa"/>
              <w:left w:w="100" w:type="dxa"/>
              <w:right w:w="100" w:type="dxa"/>
            </w:tcMar>
            <w:vAlign w:val="center"/>
          </w:tcPr>
          <w:p>
            <w:r>
              <w:rPr>
                <w:rFonts w:ascii="Calibri" w:hAnsi="Calibri"/>
                <w:sz w:val="18"/>
              </w:rPr>
              <w:t>Linked Child Read-Only</w:t>
            </w:r>
          </w:p>
        </w:tc>
      </w:tr>
    </w:tbl>
    <w:p>
      <w:pPr>
        <w:pStyle w:val="Heading2"/>
        <w:keepNext/>
        <w:spacing w:before="240" w:after="80"/>
      </w:pPr>
      <w:r>
        <w:rPr>
          <w:b/>
          <w:color w:val="0F172A"/>
          <w:sz w:val="24"/>
        </w:rPr>
        <w:t>2.3 Operating Environment</w:t>
      </w:r>
    </w:p>
    <w:p>
      <w:r>
        <w:t>• Client Platform: Standard modern web browsers (Chrome &gt;= 110, Edge &gt;= 110, Firefox &gt;= 115, Safari &gt;= 16) with responsive viewport support (320px to 4K).</w:t>
        <w:br/>
        <w:t>• Server OS: Linux (Ubuntu 22.04 LTS / Debian 12) or Containerized Alpine Linux environments.</w:t>
        <w:br/>
        <w:t>• Database Environment: PostgreSQL 15.x with UTF-8 encoding and connection pooling.</w:t>
        <w:br/>
        <w:t>• Network: Standard HTTPS (TLS 1.3) over TCP port 443.</w:t>
      </w:r>
    </w:p>
    <w:p>
      <w:pPr>
        <w:pStyle w:val="Heading2"/>
        <w:keepNext/>
        <w:spacing w:before="240" w:after="80"/>
      </w:pPr>
      <w:r>
        <w:rPr>
          <w:b/>
          <w:color w:val="0F172A"/>
          <w:sz w:val="24"/>
        </w:rPr>
        <w:t>2.4 Design &amp; Implementation Constraints</w:t>
      </w:r>
    </w:p>
    <w:p>
      <w:r>
        <w:t>• Security: Mandatory password hashing using Bcrypt (cost factor &gt;= 12), JWT-based stateless authentication with 15-minute token expiry.</w:t>
        <w:br/>
        <w:t>• Regulatory: Compliance with Family Educational Rights and Privacy Act (FERPA) standards ensuring strict data segregation.</w:t>
        <w:br/>
        <w:t>• Zero-Trust Role Isolation: Broken Object-Level Authorization (IDOR) prevention enforced at the database query level on every API request.</w:t>
      </w:r>
    </w:p>
    <w:p>
      <w:pPr>
        <w:pStyle w:val="Heading1"/>
        <w:keepNext/>
        <w:spacing w:before="240" w:after="80"/>
      </w:pPr>
      <w:r>
        <w:rPr>
          <w:b/>
          <w:color w:val="1E3A8A"/>
          <w:sz w:val="30"/>
        </w:rPr>
        <w:t>3. Specific Functional Requirements (FR-01 to FR-15)</w:t>
      </w:r>
    </w:p>
    <w:p>
      <w:r>
        <w:t>The following requirements specify the exact behavioral capabilities of EduTrack. All items have been verified against institutional academic regulations.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296"/>
            <w:shd w:fill="1E3A8A"/>
            <w:tcMar>
              <w:top w:w="120" w:type="dxa"/>
              <w:bottom w:w="120" w:type="dxa"/>
              <w:left w:w="140" w:type="dxa"/>
              <w:right w:w="140" w:type="dxa"/>
            </w:tcMar>
            <w:vAlign w:val="center"/>
          </w:tcPr>
          <w:p>
            <w:pPr>
              <w:jc w:val="left"/>
            </w:pPr>
            <w:r>
              <w:rPr>
                <w:rFonts w:ascii="Calibri" w:hAnsi="Calibri"/>
                <w:b/>
                <w:color w:val="FFFFFF"/>
                <w:sz w:val="19"/>
              </w:rPr>
              <w:t>Req ID</w:t>
            </w:r>
          </w:p>
        </w:tc>
        <w:tc>
          <w:tcPr>
            <w:tcW w:type="dxa" w:w="2160"/>
            <w:shd w:fill="1E3A8A"/>
            <w:tcMar>
              <w:top w:w="120" w:type="dxa"/>
              <w:bottom w:w="120" w:type="dxa"/>
              <w:left w:w="140" w:type="dxa"/>
              <w:right w:w="140" w:type="dxa"/>
            </w:tcMar>
            <w:vAlign w:val="center"/>
          </w:tcPr>
          <w:p>
            <w:pPr>
              <w:jc w:val="left"/>
            </w:pPr>
            <w:r>
              <w:rPr>
                <w:rFonts w:ascii="Calibri" w:hAnsi="Calibri"/>
                <w:b/>
                <w:color w:val="FFFFFF"/>
                <w:sz w:val="19"/>
              </w:rPr>
              <w:t>Feature Name</w:t>
            </w:r>
          </w:p>
        </w:tc>
        <w:tc>
          <w:tcPr>
            <w:tcW w:type="dxa" w:w="3168"/>
            <w:shd w:fill="1E3A8A"/>
            <w:tcMar>
              <w:top w:w="120" w:type="dxa"/>
              <w:bottom w:w="120" w:type="dxa"/>
              <w:left w:w="140" w:type="dxa"/>
              <w:right w:w="140" w:type="dxa"/>
            </w:tcMar>
            <w:vAlign w:val="center"/>
          </w:tcPr>
          <w:p>
            <w:pPr>
              <w:jc w:val="left"/>
            </w:pPr>
            <w:r>
              <w:rPr>
                <w:rFonts w:ascii="Calibri" w:hAnsi="Calibri"/>
                <w:b/>
                <w:color w:val="FFFFFF"/>
                <w:sz w:val="19"/>
              </w:rPr>
              <w:t>Functional Description &amp; Processing</w:t>
            </w:r>
          </w:p>
        </w:tc>
        <w:tc>
          <w:tcPr>
            <w:tcW w:type="dxa" w:w="1440"/>
            <w:shd w:fill="1E3A8A"/>
            <w:tcMar>
              <w:top w:w="120" w:type="dxa"/>
              <w:bottom w:w="120" w:type="dxa"/>
              <w:left w:w="140" w:type="dxa"/>
              <w:right w:w="140" w:type="dxa"/>
            </w:tcMar>
            <w:vAlign w:val="center"/>
          </w:tcPr>
          <w:p>
            <w:pPr>
              <w:jc w:val="left"/>
            </w:pPr>
            <w:r>
              <w:rPr>
                <w:rFonts w:ascii="Calibri" w:hAnsi="Calibri"/>
                <w:b/>
                <w:color w:val="FFFFFF"/>
                <w:sz w:val="19"/>
              </w:rPr>
              <w:t>Output</w:t>
            </w:r>
          </w:p>
        </w:tc>
        <w:tc>
          <w:tcPr>
            <w:tcW w:type="dxa" w:w="1296"/>
            <w:shd w:fill="1E3A8A"/>
            <w:tcMar>
              <w:top w:w="120" w:type="dxa"/>
              <w:bottom w:w="120" w:type="dxa"/>
              <w:left w:w="140" w:type="dxa"/>
              <w:right w:w="140" w:type="dxa"/>
            </w:tcMar>
            <w:vAlign w:val="center"/>
          </w:tcPr>
          <w:p>
            <w:pPr>
              <w:jc w:val="left"/>
            </w:pPr>
            <w:r>
              <w:rPr>
                <w:rFonts w:ascii="Calibri" w:hAnsi="Calibri"/>
                <w:b/>
                <w:color w:val="FFFFFF"/>
                <w:sz w:val="19"/>
              </w:rPr>
              <w:t>Priority</w:t>
            </w:r>
          </w:p>
        </w:tc>
      </w:tr>
      <w:tr>
        <w:tc>
          <w:tcPr>
            <w:tcW w:type="dxa" w:w="1296"/>
            <w:tcMar>
              <w:top w:w="70" w:type="dxa"/>
              <w:bottom w:w="70" w:type="dxa"/>
              <w:left w:w="100" w:type="dxa"/>
              <w:right w:w="100" w:type="dxa"/>
            </w:tcMar>
            <w:vAlign w:val="center"/>
          </w:tcPr>
          <w:p>
            <w:r>
              <w:rPr>
                <w:rFonts w:ascii="Calibri" w:hAnsi="Calibri"/>
                <w:sz w:val="18"/>
              </w:rPr>
              <w:t>FR-01</w:t>
            </w:r>
          </w:p>
        </w:tc>
        <w:tc>
          <w:tcPr>
            <w:tcW w:type="dxa" w:w="2160"/>
            <w:tcMar>
              <w:top w:w="70" w:type="dxa"/>
              <w:bottom w:w="70" w:type="dxa"/>
              <w:left w:w="100" w:type="dxa"/>
              <w:right w:w="100" w:type="dxa"/>
            </w:tcMar>
            <w:vAlign w:val="center"/>
          </w:tcPr>
          <w:p>
            <w:r>
              <w:rPr>
                <w:rFonts w:ascii="Calibri" w:hAnsi="Calibri"/>
                <w:sz w:val="18"/>
              </w:rPr>
              <w:t>Multi-Factor Authentication</w:t>
            </w:r>
          </w:p>
        </w:tc>
        <w:tc>
          <w:tcPr>
            <w:tcW w:type="dxa" w:w="3168"/>
            <w:tcMar>
              <w:top w:w="70" w:type="dxa"/>
              <w:bottom w:w="70" w:type="dxa"/>
              <w:left w:w="100" w:type="dxa"/>
              <w:right w:w="100" w:type="dxa"/>
            </w:tcMar>
            <w:vAlign w:val="center"/>
          </w:tcPr>
          <w:p>
            <w:r>
              <w:rPr>
                <w:rFonts w:ascii="Calibri" w:hAnsi="Calibri"/>
                <w:sz w:val="18"/>
              </w:rPr>
              <w:t>Validates username/email and Bcrypt-hashed password. Emits short-lived JWT access token (15 min) and secure HttpOnly refresh token with role claim.</w:t>
            </w:r>
          </w:p>
        </w:tc>
        <w:tc>
          <w:tcPr>
            <w:tcW w:type="dxa" w:w="1440"/>
            <w:tcMar>
              <w:top w:w="70" w:type="dxa"/>
              <w:bottom w:w="70" w:type="dxa"/>
              <w:left w:w="100" w:type="dxa"/>
              <w:right w:w="100" w:type="dxa"/>
            </w:tcMar>
            <w:vAlign w:val="center"/>
          </w:tcPr>
          <w:p>
            <w:r>
              <w:rPr>
                <w:rFonts w:ascii="Calibri" w:hAnsi="Calibri"/>
                <w:sz w:val="18"/>
              </w:rPr>
              <w:t>JWT Session Tokens</w:t>
            </w:r>
          </w:p>
        </w:tc>
        <w:tc>
          <w:tcPr>
            <w:tcW w:type="dxa" w:w="1296"/>
            <w:tcMar>
              <w:top w:w="70" w:type="dxa"/>
              <w:bottom w:w="70" w:type="dxa"/>
              <w:left w:w="100" w:type="dxa"/>
              <w:right w:w="100" w:type="dxa"/>
            </w:tcMar>
            <w:vAlign w:val="center"/>
          </w:tcPr>
          <w:p>
            <w:r>
              <w:rPr>
                <w:rFonts w:ascii="Calibri" w:hAnsi="Calibri"/>
                <w:sz w:val="18"/>
              </w:rPr>
              <w:t>Critical (P1)</w:t>
            </w:r>
          </w:p>
        </w:tc>
      </w:tr>
      <w:tr>
        <w:tc>
          <w:tcPr>
            <w:tcW w:type="dxa" w:w="1296"/>
            <w:shd w:fill="F8FAFC"/>
            <w:tcMar>
              <w:top w:w="70" w:type="dxa"/>
              <w:bottom w:w="70" w:type="dxa"/>
              <w:left w:w="100" w:type="dxa"/>
              <w:right w:w="100" w:type="dxa"/>
            </w:tcMar>
            <w:vAlign w:val="center"/>
          </w:tcPr>
          <w:p>
            <w:r>
              <w:rPr>
                <w:rFonts w:ascii="Calibri" w:hAnsi="Calibri"/>
                <w:sz w:val="18"/>
              </w:rPr>
              <w:t>FR-02</w:t>
            </w:r>
          </w:p>
        </w:tc>
        <w:tc>
          <w:tcPr>
            <w:tcW w:type="dxa" w:w="2160"/>
            <w:shd w:fill="F8FAFC"/>
            <w:tcMar>
              <w:top w:w="70" w:type="dxa"/>
              <w:bottom w:w="70" w:type="dxa"/>
              <w:left w:w="100" w:type="dxa"/>
              <w:right w:w="100" w:type="dxa"/>
            </w:tcMar>
            <w:vAlign w:val="center"/>
          </w:tcPr>
          <w:p>
            <w:r>
              <w:rPr>
                <w:rFonts w:ascii="Calibri" w:hAnsi="Calibri"/>
                <w:sz w:val="18"/>
              </w:rPr>
              <w:t>Student Profile CRUD</w:t>
            </w:r>
          </w:p>
        </w:tc>
        <w:tc>
          <w:tcPr>
            <w:tcW w:type="dxa" w:w="3168"/>
            <w:shd w:fill="F8FAFC"/>
            <w:tcMar>
              <w:top w:w="70" w:type="dxa"/>
              <w:bottom w:w="70" w:type="dxa"/>
              <w:left w:w="100" w:type="dxa"/>
              <w:right w:w="100" w:type="dxa"/>
            </w:tcMar>
            <w:vAlign w:val="center"/>
          </w:tcPr>
          <w:p>
            <w:r>
              <w:rPr>
                <w:rFonts w:ascii="Calibri" w:hAnsi="Calibri"/>
                <w:sz w:val="18"/>
              </w:rPr>
              <w:t>Enables Administrators to register, update, archive, and query student biographical, departmental, and guardian records with unique USN/Roll constraint.</w:t>
            </w:r>
          </w:p>
        </w:tc>
        <w:tc>
          <w:tcPr>
            <w:tcW w:type="dxa" w:w="1440"/>
            <w:shd w:fill="F8FAFC"/>
            <w:tcMar>
              <w:top w:w="70" w:type="dxa"/>
              <w:bottom w:w="70" w:type="dxa"/>
              <w:left w:w="100" w:type="dxa"/>
              <w:right w:w="100" w:type="dxa"/>
            </w:tcMar>
            <w:vAlign w:val="center"/>
          </w:tcPr>
          <w:p>
            <w:r>
              <w:rPr>
                <w:rFonts w:ascii="Calibri" w:hAnsi="Calibri"/>
                <w:sz w:val="18"/>
              </w:rPr>
              <w:t>Persisted Student Profile</w:t>
            </w:r>
          </w:p>
        </w:tc>
        <w:tc>
          <w:tcPr>
            <w:tcW w:type="dxa" w:w="1296"/>
            <w:shd w:fill="F8FAFC"/>
            <w:tcMar>
              <w:top w:w="70" w:type="dxa"/>
              <w:bottom w:w="70" w:type="dxa"/>
              <w:left w:w="100" w:type="dxa"/>
              <w:right w:w="100" w:type="dxa"/>
            </w:tcMar>
            <w:vAlign w:val="center"/>
          </w:tcPr>
          <w:p>
            <w:r>
              <w:rPr>
                <w:rFonts w:ascii="Calibri" w:hAnsi="Calibri"/>
                <w:sz w:val="18"/>
              </w:rPr>
              <w:t>Critical (P1)</w:t>
            </w:r>
          </w:p>
        </w:tc>
      </w:tr>
      <w:tr>
        <w:tc>
          <w:tcPr>
            <w:tcW w:type="dxa" w:w="1296"/>
            <w:tcMar>
              <w:top w:w="70" w:type="dxa"/>
              <w:bottom w:w="70" w:type="dxa"/>
              <w:left w:w="100" w:type="dxa"/>
              <w:right w:w="100" w:type="dxa"/>
            </w:tcMar>
            <w:vAlign w:val="center"/>
          </w:tcPr>
          <w:p>
            <w:r>
              <w:rPr>
                <w:rFonts w:ascii="Calibri" w:hAnsi="Calibri"/>
                <w:sz w:val="18"/>
              </w:rPr>
              <w:t>FR-03</w:t>
            </w:r>
          </w:p>
        </w:tc>
        <w:tc>
          <w:tcPr>
            <w:tcW w:type="dxa" w:w="2160"/>
            <w:tcMar>
              <w:top w:w="70" w:type="dxa"/>
              <w:bottom w:w="70" w:type="dxa"/>
              <w:left w:w="100" w:type="dxa"/>
              <w:right w:w="100" w:type="dxa"/>
            </w:tcMar>
            <w:vAlign w:val="center"/>
          </w:tcPr>
          <w:p>
            <w:r>
              <w:rPr>
                <w:rFonts w:ascii="Calibri" w:hAnsi="Calibri"/>
                <w:sz w:val="18"/>
              </w:rPr>
              <w:t>Course Catalog Management</w:t>
            </w:r>
          </w:p>
        </w:tc>
        <w:tc>
          <w:tcPr>
            <w:tcW w:type="dxa" w:w="3168"/>
            <w:tcMar>
              <w:top w:w="70" w:type="dxa"/>
              <w:bottom w:w="70" w:type="dxa"/>
              <w:left w:w="100" w:type="dxa"/>
              <w:right w:w="100" w:type="dxa"/>
            </w:tcMar>
            <w:vAlign w:val="center"/>
          </w:tcPr>
          <w:p>
            <w:r>
              <w:rPr>
                <w:rFonts w:ascii="Calibri" w:hAnsi="Calibri"/>
                <w:sz w:val="18"/>
              </w:rPr>
              <w:t>Enables creation of academic courses, credit definitions, semester assignment, and prerequisite mapping.</w:t>
            </w:r>
          </w:p>
        </w:tc>
        <w:tc>
          <w:tcPr>
            <w:tcW w:type="dxa" w:w="1440"/>
            <w:tcMar>
              <w:top w:w="70" w:type="dxa"/>
              <w:bottom w:w="70" w:type="dxa"/>
              <w:left w:w="100" w:type="dxa"/>
              <w:right w:w="100" w:type="dxa"/>
            </w:tcMar>
            <w:vAlign w:val="center"/>
          </w:tcPr>
          <w:p>
            <w:r>
              <w:rPr>
                <w:rFonts w:ascii="Calibri" w:hAnsi="Calibri"/>
                <w:sz w:val="18"/>
              </w:rPr>
              <w:t>Course Catalog Registry</w:t>
            </w:r>
          </w:p>
        </w:tc>
        <w:tc>
          <w:tcPr>
            <w:tcW w:type="dxa" w:w="1296"/>
            <w:tcMar>
              <w:top w:w="70" w:type="dxa"/>
              <w:bottom w:w="70" w:type="dxa"/>
              <w:left w:w="100" w:type="dxa"/>
              <w:right w:w="100" w:type="dxa"/>
            </w:tcMar>
            <w:vAlign w:val="center"/>
          </w:tcPr>
          <w:p>
            <w:r>
              <w:rPr>
                <w:rFonts w:ascii="Calibri" w:hAnsi="Calibri"/>
                <w:sz w:val="18"/>
              </w:rPr>
              <w:t>High (P2)</w:t>
            </w:r>
          </w:p>
        </w:tc>
      </w:tr>
      <w:tr>
        <w:tc>
          <w:tcPr>
            <w:tcW w:type="dxa" w:w="1296"/>
            <w:shd w:fill="F8FAFC"/>
            <w:tcMar>
              <w:top w:w="70" w:type="dxa"/>
              <w:bottom w:w="70" w:type="dxa"/>
              <w:left w:w="100" w:type="dxa"/>
              <w:right w:w="100" w:type="dxa"/>
            </w:tcMar>
            <w:vAlign w:val="center"/>
          </w:tcPr>
          <w:p>
            <w:r>
              <w:rPr>
                <w:rFonts w:ascii="Calibri" w:hAnsi="Calibri"/>
                <w:sz w:val="18"/>
              </w:rPr>
              <w:t>FR-04</w:t>
            </w:r>
          </w:p>
        </w:tc>
        <w:tc>
          <w:tcPr>
            <w:tcW w:type="dxa" w:w="2160"/>
            <w:shd w:fill="F8FAFC"/>
            <w:tcMar>
              <w:top w:w="70" w:type="dxa"/>
              <w:bottom w:w="70" w:type="dxa"/>
              <w:left w:w="100" w:type="dxa"/>
              <w:right w:w="100" w:type="dxa"/>
            </w:tcMar>
            <w:vAlign w:val="center"/>
          </w:tcPr>
          <w:p>
            <w:r>
              <w:rPr>
                <w:rFonts w:ascii="Calibri" w:hAnsi="Calibri"/>
                <w:sz w:val="18"/>
              </w:rPr>
              <w:t>Faculty-Batch Enrollment</w:t>
            </w:r>
          </w:p>
        </w:tc>
        <w:tc>
          <w:tcPr>
            <w:tcW w:type="dxa" w:w="3168"/>
            <w:shd w:fill="F8FAFC"/>
            <w:tcMar>
              <w:top w:w="70" w:type="dxa"/>
              <w:bottom w:w="70" w:type="dxa"/>
              <w:left w:w="100" w:type="dxa"/>
              <w:right w:w="100" w:type="dxa"/>
            </w:tcMar>
            <w:vAlign w:val="center"/>
          </w:tcPr>
          <w:p>
            <w:r>
              <w:rPr>
                <w:rFonts w:ascii="Calibri" w:hAnsi="Calibri"/>
                <w:sz w:val="18"/>
              </w:rPr>
              <w:t>Assigns faculty instructors to specific course batches and enrolls eligible students for the active academic term.</w:t>
            </w:r>
          </w:p>
        </w:tc>
        <w:tc>
          <w:tcPr>
            <w:tcW w:type="dxa" w:w="1440"/>
            <w:shd w:fill="F8FAFC"/>
            <w:tcMar>
              <w:top w:w="70" w:type="dxa"/>
              <w:bottom w:w="70" w:type="dxa"/>
              <w:left w:w="100" w:type="dxa"/>
              <w:right w:w="100" w:type="dxa"/>
            </w:tcMar>
            <w:vAlign w:val="center"/>
          </w:tcPr>
          <w:p>
            <w:r>
              <w:rPr>
                <w:rFonts w:ascii="Calibri" w:hAnsi="Calibri"/>
                <w:sz w:val="18"/>
              </w:rPr>
              <w:t>Enrollment Roster</w:t>
            </w:r>
          </w:p>
        </w:tc>
        <w:tc>
          <w:tcPr>
            <w:tcW w:type="dxa" w:w="1296"/>
            <w:shd w:fill="F8FAFC"/>
            <w:tcMar>
              <w:top w:w="70" w:type="dxa"/>
              <w:bottom w:w="70" w:type="dxa"/>
              <w:left w:w="100" w:type="dxa"/>
              <w:right w:w="100" w:type="dxa"/>
            </w:tcMar>
            <w:vAlign w:val="center"/>
          </w:tcPr>
          <w:p>
            <w:r>
              <w:rPr>
                <w:rFonts w:ascii="Calibri" w:hAnsi="Calibri"/>
                <w:sz w:val="18"/>
              </w:rPr>
              <w:t>High (P2)</w:t>
            </w:r>
          </w:p>
        </w:tc>
      </w:tr>
      <w:tr>
        <w:tc>
          <w:tcPr>
            <w:tcW w:type="dxa" w:w="1296"/>
            <w:tcMar>
              <w:top w:w="70" w:type="dxa"/>
              <w:bottom w:w="70" w:type="dxa"/>
              <w:left w:w="100" w:type="dxa"/>
              <w:right w:w="100" w:type="dxa"/>
            </w:tcMar>
            <w:vAlign w:val="center"/>
          </w:tcPr>
          <w:p>
            <w:r>
              <w:rPr>
                <w:rFonts w:ascii="Calibri" w:hAnsi="Calibri"/>
                <w:sz w:val="18"/>
              </w:rPr>
              <w:t>FR-05</w:t>
            </w:r>
          </w:p>
        </w:tc>
        <w:tc>
          <w:tcPr>
            <w:tcW w:type="dxa" w:w="2160"/>
            <w:tcMar>
              <w:top w:w="70" w:type="dxa"/>
              <w:bottom w:w="70" w:type="dxa"/>
              <w:left w:w="100" w:type="dxa"/>
              <w:right w:w="100" w:type="dxa"/>
            </w:tcMar>
            <w:vAlign w:val="center"/>
          </w:tcPr>
          <w:p>
            <w:r>
              <w:rPr>
                <w:rFonts w:ascii="Calibri" w:hAnsi="Calibri"/>
                <w:sz w:val="18"/>
              </w:rPr>
              <w:t>Session Attendance Marking</w:t>
            </w:r>
          </w:p>
        </w:tc>
        <w:tc>
          <w:tcPr>
            <w:tcW w:type="dxa" w:w="3168"/>
            <w:tcMar>
              <w:top w:w="70" w:type="dxa"/>
              <w:bottom w:w="70" w:type="dxa"/>
              <w:left w:w="100" w:type="dxa"/>
              <w:right w:w="100" w:type="dxa"/>
            </w:tcMar>
            <w:vAlign w:val="center"/>
          </w:tcPr>
          <w:p>
            <w:r>
              <w:rPr>
                <w:rFonts w:ascii="Calibri" w:hAnsi="Calibri"/>
                <w:sz w:val="18"/>
              </w:rPr>
              <w:t>Enables assigned faculty to log daily attendance (Present, Absent, Excused) with date, period, and topic timestamped.</w:t>
            </w:r>
          </w:p>
        </w:tc>
        <w:tc>
          <w:tcPr>
            <w:tcW w:type="dxa" w:w="1440"/>
            <w:tcMar>
              <w:top w:w="70" w:type="dxa"/>
              <w:bottom w:w="70" w:type="dxa"/>
              <w:left w:w="100" w:type="dxa"/>
              <w:right w:w="100" w:type="dxa"/>
            </w:tcMar>
            <w:vAlign w:val="center"/>
          </w:tcPr>
          <w:p>
            <w:r>
              <w:rPr>
                <w:rFonts w:ascii="Calibri" w:hAnsi="Calibri"/>
                <w:sz w:val="18"/>
              </w:rPr>
              <w:t>Attendance Session Log</w:t>
            </w:r>
          </w:p>
        </w:tc>
        <w:tc>
          <w:tcPr>
            <w:tcW w:type="dxa" w:w="1296"/>
            <w:tcMar>
              <w:top w:w="70" w:type="dxa"/>
              <w:bottom w:w="70" w:type="dxa"/>
              <w:left w:w="100" w:type="dxa"/>
              <w:right w:w="100" w:type="dxa"/>
            </w:tcMar>
            <w:vAlign w:val="center"/>
          </w:tcPr>
          <w:p>
            <w:r>
              <w:rPr>
                <w:rFonts w:ascii="Calibri" w:hAnsi="Calibri"/>
                <w:sz w:val="18"/>
              </w:rPr>
              <w:t>Critical (P1)</w:t>
            </w:r>
          </w:p>
        </w:tc>
      </w:tr>
      <w:tr>
        <w:tc>
          <w:tcPr>
            <w:tcW w:type="dxa" w:w="1296"/>
            <w:shd w:fill="F8FAFC"/>
            <w:tcMar>
              <w:top w:w="70" w:type="dxa"/>
              <w:bottom w:w="70" w:type="dxa"/>
              <w:left w:w="100" w:type="dxa"/>
              <w:right w:w="100" w:type="dxa"/>
            </w:tcMar>
            <w:vAlign w:val="center"/>
          </w:tcPr>
          <w:p>
            <w:r>
              <w:rPr>
                <w:rFonts w:ascii="Calibri" w:hAnsi="Calibri"/>
                <w:sz w:val="18"/>
              </w:rPr>
              <w:t>FR-06</w:t>
            </w:r>
          </w:p>
        </w:tc>
        <w:tc>
          <w:tcPr>
            <w:tcW w:type="dxa" w:w="2160"/>
            <w:shd w:fill="F8FAFC"/>
            <w:tcMar>
              <w:top w:w="70" w:type="dxa"/>
              <w:bottom w:w="70" w:type="dxa"/>
              <w:left w:w="100" w:type="dxa"/>
              <w:right w:w="100" w:type="dxa"/>
            </w:tcMar>
            <w:vAlign w:val="center"/>
          </w:tcPr>
          <w:p>
            <w:r>
              <w:rPr>
                <w:rFonts w:ascii="Calibri" w:hAnsi="Calibri"/>
                <w:sz w:val="18"/>
              </w:rPr>
              <w:t>Attendance Aggregator</w:t>
            </w:r>
          </w:p>
        </w:tc>
        <w:tc>
          <w:tcPr>
            <w:tcW w:type="dxa" w:w="3168"/>
            <w:shd w:fill="F8FAFC"/>
            <w:tcMar>
              <w:top w:w="70" w:type="dxa"/>
              <w:bottom w:w="70" w:type="dxa"/>
              <w:left w:w="100" w:type="dxa"/>
              <w:right w:w="100" w:type="dxa"/>
            </w:tcMar>
            <w:vAlign w:val="center"/>
          </w:tcPr>
          <w:p>
            <w:r>
              <w:rPr>
                <w:rFonts w:ascii="Calibri" w:hAnsi="Calibri"/>
                <w:sz w:val="18"/>
              </w:rPr>
              <w:t>Computes cumulative and course-wise attendance percentages in real-time using formula: (Attended / Conducted) * 100.</w:t>
            </w:r>
          </w:p>
        </w:tc>
        <w:tc>
          <w:tcPr>
            <w:tcW w:type="dxa" w:w="1440"/>
            <w:shd w:fill="F8FAFC"/>
            <w:tcMar>
              <w:top w:w="70" w:type="dxa"/>
              <w:bottom w:w="70" w:type="dxa"/>
              <w:left w:w="100" w:type="dxa"/>
              <w:right w:w="100" w:type="dxa"/>
            </w:tcMar>
            <w:vAlign w:val="center"/>
          </w:tcPr>
          <w:p>
            <w:r>
              <w:rPr>
                <w:rFonts w:ascii="Calibri" w:hAnsi="Calibri"/>
                <w:sz w:val="18"/>
              </w:rPr>
              <w:t>Calculated Attendance %</w:t>
            </w:r>
          </w:p>
        </w:tc>
        <w:tc>
          <w:tcPr>
            <w:tcW w:type="dxa" w:w="1296"/>
            <w:shd w:fill="F8FAFC"/>
            <w:tcMar>
              <w:top w:w="70" w:type="dxa"/>
              <w:bottom w:w="70" w:type="dxa"/>
              <w:left w:w="100" w:type="dxa"/>
              <w:right w:w="100" w:type="dxa"/>
            </w:tcMar>
            <w:vAlign w:val="center"/>
          </w:tcPr>
          <w:p>
            <w:r>
              <w:rPr>
                <w:rFonts w:ascii="Calibri" w:hAnsi="Calibri"/>
                <w:sz w:val="18"/>
              </w:rPr>
              <w:t>Critical (P1)</w:t>
            </w:r>
          </w:p>
        </w:tc>
      </w:tr>
      <w:tr>
        <w:tc>
          <w:tcPr>
            <w:tcW w:type="dxa" w:w="1296"/>
            <w:tcMar>
              <w:top w:w="70" w:type="dxa"/>
              <w:bottom w:w="70" w:type="dxa"/>
              <w:left w:w="100" w:type="dxa"/>
              <w:right w:w="100" w:type="dxa"/>
            </w:tcMar>
            <w:vAlign w:val="center"/>
          </w:tcPr>
          <w:p>
            <w:r>
              <w:rPr>
                <w:rFonts w:ascii="Calibri" w:hAnsi="Calibri"/>
                <w:sz w:val="18"/>
              </w:rPr>
              <w:t>FR-07</w:t>
            </w:r>
          </w:p>
        </w:tc>
        <w:tc>
          <w:tcPr>
            <w:tcW w:type="dxa" w:w="2160"/>
            <w:tcMar>
              <w:top w:w="70" w:type="dxa"/>
              <w:bottom w:w="70" w:type="dxa"/>
              <w:left w:w="100" w:type="dxa"/>
              <w:right w:w="100" w:type="dxa"/>
            </w:tcMar>
            <w:vAlign w:val="center"/>
          </w:tcPr>
          <w:p>
            <w:r>
              <w:rPr>
                <w:rFonts w:ascii="Calibri" w:hAnsi="Calibri"/>
                <w:sz w:val="18"/>
              </w:rPr>
              <w:t>Automated Shortage Alerts</w:t>
            </w:r>
          </w:p>
        </w:tc>
        <w:tc>
          <w:tcPr>
            <w:tcW w:type="dxa" w:w="3168"/>
            <w:tcMar>
              <w:top w:w="70" w:type="dxa"/>
              <w:bottom w:w="70" w:type="dxa"/>
              <w:left w:w="100" w:type="dxa"/>
              <w:right w:w="100" w:type="dxa"/>
            </w:tcMar>
            <w:vAlign w:val="center"/>
          </w:tcPr>
          <w:p>
            <w:r>
              <w:rPr>
                <w:rFonts w:ascii="Calibri" w:hAnsi="Calibri"/>
                <w:sz w:val="18"/>
              </w:rPr>
              <w:t>Monitors when student attendance drops below statutory 75% threshold. Automatically dispatches warning email/SMS to student and parent.</w:t>
            </w:r>
          </w:p>
        </w:tc>
        <w:tc>
          <w:tcPr>
            <w:tcW w:type="dxa" w:w="1440"/>
            <w:tcMar>
              <w:top w:w="70" w:type="dxa"/>
              <w:bottom w:w="70" w:type="dxa"/>
              <w:left w:w="100" w:type="dxa"/>
              <w:right w:w="100" w:type="dxa"/>
            </w:tcMar>
            <w:vAlign w:val="center"/>
          </w:tcPr>
          <w:p>
            <w:r>
              <w:rPr>
                <w:rFonts w:ascii="Calibri" w:hAnsi="Calibri"/>
                <w:sz w:val="18"/>
              </w:rPr>
              <w:t>Automated Alert Dispatch</w:t>
            </w:r>
          </w:p>
        </w:tc>
        <w:tc>
          <w:tcPr>
            <w:tcW w:type="dxa" w:w="1296"/>
            <w:tcMar>
              <w:top w:w="70" w:type="dxa"/>
              <w:bottom w:w="70" w:type="dxa"/>
              <w:left w:w="100" w:type="dxa"/>
              <w:right w:w="100" w:type="dxa"/>
            </w:tcMar>
            <w:vAlign w:val="center"/>
          </w:tcPr>
          <w:p>
            <w:r>
              <w:rPr>
                <w:rFonts w:ascii="Calibri" w:hAnsi="Calibri"/>
                <w:sz w:val="18"/>
              </w:rPr>
              <w:t>High (P2)</w:t>
            </w:r>
          </w:p>
        </w:tc>
      </w:tr>
      <w:tr>
        <w:tc>
          <w:tcPr>
            <w:tcW w:type="dxa" w:w="1296"/>
            <w:shd w:fill="F8FAFC"/>
            <w:tcMar>
              <w:top w:w="70" w:type="dxa"/>
              <w:bottom w:w="70" w:type="dxa"/>
              <w:left w:w="100" w:type="dxa"/>
              <w:right w:w="100" w:type="dxa"/>
            </w:tcMar>
            <w:vAlign w:val="center"/>
          </w:tcPr>
          <w:p>
            <w:r>
              <w:rPr>
                <w:rFonts w:ascii="Calibri" w:hAnsi="Calibri"/>
                <w:sz w:val="18"/>
              </w:rPr>
              <w:t>FR-08</w:t>
            </w:r>
          </w:p>
        </w:tc>
        <w:tc>
          <w:tcPr>
            <w:tcW w:type="dxa" w:w="2160"/>
            <w:shd w:fill="F8FAFC"/>
            <w:tcMar>
              <w:top w:w="70" w:type="dxa"/>
              <w:bottom w:w="70" w:type="dxa"/>
              <w:left w:w="100" w:type="dxa"/>
              <w:right w:w="100" w:type="dxa"/>
            </w:tcMar>
            <w:vAlign w:val="center"/>
          </w:tcPr>
          <w:p>
            <w:r>
              <w:rPr>
                <w:rFonts w:ascii="Calibri" w:hAnsi="Calibri"/>
                <w:sz w:val="18"/>
              </w:rPr>
              <w:t>Continuous Internal Marks</w:t>
            </w:r>
          </w:p>
        </w:tc>
        <w:tc>
          <w:tcPr>
            <w:tcW w:type="dxa" w:w="3168"/>
            <w:shd w:fill="F8FAFC"/>
            <w:tcMar>
              <w:top w:w="70" w:type="dxa"/>
              <w:bottom w:w="70" w:type="dxa"/>
              <w:left w:w="100" w:type="dxa"/>
              <w:right w:w="100" w:type="dxa"/>
            </w:tcMar>
            <w:vAlign w:val="center"/>
          </w:tcPr>
          <w:p>
            <w:r>
              <w:rPr>
                <w:rFonts w:ascii="Calibri" w:hAnsi="Calibri"/>
                <w:sz w:val="18"/>
              </w:rPr>
              <w:t>Allows instructors to input marks for continuous internal assessments (quizzes, lab assignments, mid-terms) with max marks validation.</w:t>
            </w:r>
          </w:p>
        </w:tc>
        <w:tc>
          <w:tcPr>
            <w:tcW w:type="dxa" w:w="1440"/>
            <w:shd w:fill="F8FAFC"/>
            <w:tcMar>
              <w:top w:w="70" w:type="dxa"/>
              <w:bottom w:w="70" w:type="dxa"/>
              <w:left w:w="100" w:type="dxa"/>
              <w:right w:w="100" w:type="dxa"/>
            </w:tcMar>
            <w:vAlign w:val="center"/>
          </w:tcPr>
          <w:p>
            <w:r>
              <w:rPr>
                <w:rFonts w:ascii="Calibri" w:hAnsi="Calibri"/>
                <w:sz w:val="18"/>
              </w:rPr>
              <w:t>Internal Assessment Record</w:t>
            </w:r>
          </w:p>
        </w:tc>
        <w:tc>
          <w:tcPr>
            <w:tcW w:type="dxa" w:w="1296"/>
            <w:shd w:fill="F8FAFC"/>
            <w:tcMar>
              <w:top w:w="70" w:type="dxa"/>
              <w:bottom w:w="70" w:type="dxa"/>
              <w:left w:w="100" w:type="dxa"/>
              <w:right w:w="100" w:type="dxa"/>
            </w:tcMar>
            <w:vAlign w:val="center"/>
          </w:tcPr>
          <w:p>
            <w:r>
              <w:rPr>
                <w:rFonts w:ascii="Calibri" w:hAnsi="Calibri"/>
                <w:sz w:val="18"/>
              </w:rPr>
              <w:t>High (P2)</w:t>
            </w:r>
          </w:p>
        </w:tc>
      </w:tr>
      <w:tr>
        <w:tc>
          <w:tcPr>
            <w:tcW w:type="dxa" w:w="1296"/>
            <w:tcMar>
              <w:top w:w="70" w:type="dxa"/>
              <w:bottom w:w="70" w:type="dxa"/>
              <w:left w:w="100" w:type="dxa"/>
              <w:right w:w="100" w:type="dxa"/>
            </w:tcMar>
            <w:vAlign w:val="center"/>
          </w:tcPr>
          <w:p>
            <w:r>
              <w:rPr>
                <w:rFonts w:ascii="Calibri" w:hAnsi="Calibri"/>
                <w:sz w:val="18"/>
              </w:rPr>
              <w:t>FR-09</w:t>
            </w:r>
          </w:p>
        </w:tc>
        <w:tc>
          <w:tcPr>
            <w:tcW w:type="dxa" w:w="2160"/>
            <w:tcMar>
              <w:top w:w="70" w:type="dxa"/>
              <w:bottom w:w="70" w:type="dxa"/>
              <w:left w:w="100" w:type="dxa"/>
              <w:right w:w="100" w:type="dxa"/>
            </w:tcMar>
            <w:vAlign w:val="center"/>
          </w:tcPr>
          <w:p>
            <w:r>
              <w:rPr>
                <w:rFonts w:ascii="Calibri" w:hAnsi="Calibri"/>
                <w:sz w:val="18"/>
              </w:rPr>
              <w:t>End-Semester Examination</w:t>
            </w:r>
          </w:p>
        </w:tc>
        <w:tc>
          <w:tcPr>
            <w:tcW w:type="dxa" w:w="3168"/>
            <w:tcMar>
              <w:top w:w="70" w:type="dxa"/>
              <w:bottom w:w="70" w:type="dxa"/>
              <w:left w:w="100" w:type="dxa"/>
              <w:right w:w="100" w:type="dxa"/>
            </w:tcMar>
            <w:vAlign w:val="center"/>
          </w:tcPr>
          <w:p>
            <w:r>
              <w:rPr>
                <w:rFonts w:ascii="Calibri" w:hAnsi="Calibri"/>
                <w:sz w:val="18"/>
              </w:rPr>
              <w:t>Accepts final exam scores, validates against scaling rules, and locks marks from modification once submitted by department head.</w:t>
            </w:r>
          </w:p>
        </w:tc>
        <w:tc>
          <w:tcPr>
            <w:tcW w:type="dxa" w:w="1440"/>
            <w:tcMar>
              <w:top w:w="70" w:type="dxa"/>
              <w:bottom w:w="70" w:type="dxa"/>
              <w:left w:w="100" w:type="dxa"/>
              <w:right w:w="100" w:type="dxa"/>
            </w:tcMar>
            <w:vAlign w:val="center"/>
          </w:tcPr>
          <w:p>
            <w:r>
              <w:rPr>
                <w:rFonts w:ascii="Calibri" w:hAnsi="Calibri"/>
                <w:sz w:val="18"/>
              </w:rPr>
              <w:t>Locked Semester Score</w:t>
            </w:r>
          </w:p>
        </w:tc>
        <w:tc>
          <w:tcPr>
            <w:tcW w:type="dxa" w:w="1296"/>
            <w:tcMar>
              <w:top w:w="70" w:type="dxa"/>
              <w:bottom w:w="70" w:type="dxa"/>
              <w:left w:w="100" w:type="dxa"/>
              <w:right w:w="100" w:type="dxa"/>
            </w:tcMar>
            <w:vAlign w:val="center"/>
          </w:tcPr>
          <w:p>
            <w:r>
              <w:rPr>
                <w:rFonts w:ascii="Calibri" w:hAnsi="Calibri"/>
                <w:sz w:val="18"/>
              </w:rPr>
              <w:t>Critical (P1)</w:t>
            </w:r>
          </w:p>
        </w:tc>
      </w:tr>
      <w:tr>
        <w:tc>
          <w:tcPr>
            <w:tcW w:type="dxa" w:w="1296"/>
            <w:shd w:fill="F8FAFC"/>
            <w:tcMar>
              <w:top w:w="70" w:type="dxa"/>
              <w:bottom w:w="70" w:type="dxa"/>
              <w:left w:w="100" w:type="dxa"/>
              <w:right w:w="100" w:type="dxa"/>
            </w:tcMar>
            <w:vAlign w:val="center"/>
          </w:tcPr>
          <w:p>
            <w:r>
              <w:rPr>
                <w:rFonts w:ascii="Calibri" w:hAnsi="Calibri"/>
                <w:sz w:val="18"/>
              </w:rPr>
              <w:t>FR-10</w:t>
            </w:r>
          </w:p>
        </w:tc>
        <w:tc>
          <w:tcPr>
            <w:tcW w:type="dxa" w:w="2160"/>
            <w:shd w:fill="F8FAFC"/>
            <w:tcMar>
              <w:top w:w="70" w:type="dxa"/>
              <w:bottom w:w="70" w:type="dxa"/>
              <w:left w:w="100" w:type="dxa"/>
              <w:right w:w="100" w:type="dxa"/>
            </w:tcMar>
            <w:vAlign w:val="center"/>
          </w:tcPr>
          <w:p>
            <w:r>
              <w:rPr>
                <w:rFonts w:ascii="Calibri" w:hAnsi="Calibri"/>
                <w:sz w:val="18"/>
              </w:rPr>
              <w:t>Grade &amp; GPA Engine</w:t>
            </w:r>
          </w:p>
        </w:tc>
        <w:tc>
          <w:tcPr>
            <w:tcW w:type="dxa" w:w="3168"/>
            <w:shd w:fill="F8FAFC"/>
            <w:tcMar>
              <w:top w:w="70" w:type="dxa"/>
              <w:bottom w:w="70" w:type="dxa"/>
              <w:left w:w="100" w:type="dxa"/>
              <w:right w:w="100" w:type="dxa"/>
            </w:tcMar>
            <w:vAlign w:val="center"/>
          </w:tcPr>
          <w:p>
            <w:r>
              <w:rPr>
                <w:rFonts w:ascii="Calibri" w:hAnsi="Calibri"/>
                <w:sz w:val="18"/>
              </w:rPr>
              <w:t>Applies institutional 10-point relative/absolute grading scale to calculate Letter Grade (O, A+, A, B, C, F), Grade Points, and SGPA/CGPA.</w:t>
            </w:r>
          </w:p>
        </w:tc>
        <w:tc>
          <w:tcPr>
            <w:tcW w:type="dxa" w:w="1440"/>
            <w:shd w:fill="F8FAFC"/>
            <w:tcMar>
              <w:top w:w="70" w:type="dxa"/>
              <w:bottom w:w="70" w:type="dxa"/>
              <w:left w:w="100" w:type="dxa"/>
              <w:right w:w="100" w:type="dxa"/>
            </w:tcMar>
            <w:vAlign w:val="center"/>
          </w:tcPr>
          <w:p>
            <w:r>
              <w:rPr>
                <w:rFonts w:ascii="Calibri" w:hAnsi="Calibri"/>
                <w:sz w:val="18"/>
              </w:rPr>
              <w:t>Official Letter Grade &amp; GPA</w:t>
            </w:r>
          </w:p>
        </w:tc>
        <w:tc>
          <w:tcPr>
            <w:tcW w:type="dxa" w:w="1296"/>
            <w:shd w:fill="F8FAFC"/>
            <w:tcMar>
              <w:top w:w="70" w:type="dxa"/>
              <w:bottom w:w="70" w:type="dxa"/>
              <w:left w:w="100" w:type="dxa"/>
              <w:right w:w="100" w:type="dxa"/>
            </w:tcMar>
            <w:vAlign w:val="center"/>
          </w:tcPr>
          <w:p>
            <w:r>
              <w:rPr>
                <w:rFonts w:ascii="Calibri" w:hAnsi="Calibri"/>
                <w:sz w:val="18"/>
              </w:rPr>
              <w:t>Critical (P1)</w:t>
            </w:r>
          </w:p>
        </w:tc>
      </w:tr>
      <w:tr>
        <w:tc>
          <w:tcPr>
            <w:tcW w:type="dxa" w:w="1296"/>
            <w:tcMar>
              <w:top w:w="70" w:type="dxa"/>
              <w:bottom w:w="70" w:type="dxa"/>
              <w:left w:w="100" w:type="dxa"/>
              <w:right w:w="100" w:type="dxa"/>
            </w:tcMar>
            <w:vAlign w:val="center"/>
          </w:tcPr>
          <w:p>
            <w:r>
              <w:rPr>
                <w:rFonts w:ascii="Calibri" w:hAnsi="Calibri"/>
                <w:sz w:val="18"/>
              </w:rPr>
              <w:t>FR-11</w:t>
            </w:r>
          </w:p>
        </w:tc>
        <w:tc>
          <w:tcPr>
            <w:tcW w:type="dxa" w:w="2160"/>
            <w:tcMar>
              <w:top w:w="70" w:type="dxa"/>
              <w:bottom w:w="70" w:type="dxa"/>
              <w:left w:w="100" w:type="dxa"/>
              <w:right w:w="100" w:type="dxa"/>
            </w:tcMar>
            <w:vAlign w:val="center"/>
          </w:tcPr>
          <w:p>
            <w:r>
              <w:rPr>
                <w:rFonts w:ascii="Calibri" w:hAnsi="Calibri"/>
                <w:sz w:val="18"/>
              </w:rPr>
              <w:t>Tamper-Resistant PDF Card</w:t>
            </w:r>
          </w:p>
        </w:tc>
        <w:tc>
          <w:tcPr>
            <w:tcW w:type="dxa" w:w="3168"/>
            <w:tcMar>
              <w:top w:w="70" w:type="dxa"/>
              <w:bottom w:w="70" w:type="dxa"/>
              <w:left w:w="100" w:type="dxa"/>
              <w:right w:w="100" w:type="dxa"/>
            </w:tcMar>
            <w:vAlign w:val="center"/>
          </w:tcPr>
          <w:p>
            <w:r>
              <w:rPr>
                <w:rFonts w:ascii="Calibri" w:hAnsi="Calibri"/>
                <w:sz w:val="18"/>
              </w:rPr>
              <w:t>Generates digitally signed, printable PDF Grade Cards containing QR verification hash, semester breakdown, and institutional seal watermark.</w:t>
            </w:r>
          </w:p>
        </w:tc>
        <w:tc>
          <w:tcPr>
            <w:tcW w:type="dxa" w:w="1440"/>
            <w:tcMar>
              <w:top w:w="70" w:type="dxa"/>
              <w:bottom w:w="70" w:type="dxa"/>
              <w:left w:w="100" w:type="dxa"/>
              <w:right w:w="100" w:type="dxa"/>
            </w:tcMar>
            <w:vAlign w:val="center"/>
          </w:tcPr>
          <w:p>
            <w:r>
              <w:rPr>
                <w:rFonts w:ascii="Calibri" w:hAnsi="Calibri"/>
                <w:sz w:val="18"/>
              </w:rPr>
              <w:t>Secure PDF Grade Card</w:t>
            </w:r>
          </w:p>
        </w:tc>
        <w:tc>
          <w:tcPr>
            <w:tcW w:type="dxa" w:w="1296"/>
            <w:tcMar>
              <w:top w:w="70" w:type="dxa"/>
              <w:bottom w:w="70" w:type="dxa"/>
              <w:left w:w="100" w:type="dxa"/>
              <w:right w:w="100" w:type="dxa"/>
            </w:tcMar>
            <w:vAlign w:val="center"/>
          </w:tcPr>
          <w:p>
            <w:r>
              <w:rPr>
                <w:rFonts w:ascii="Calibri" w:hAnsi="Calibri"/>
                <w:sz w:val="18"/>
              </w:rPr>
              <w:t>High (P2)</w:t>
            </w:r>
          </w:p>
        </w:tc>
      </w:tr>
      <w:tr>
        <w:tc>
          <w:tcPr>
            <w:tcW w:type="dxa" w:w="1296"/>
            <w:shd w:fill="F8FAFC"/>
            <w:tcMar>
              <w:top w:w="70" w:type="dxa"/>
              <w:bottom w:w="70" w:type="dxa"/>
              <w:left w:w="100" w:type="dxa"/>
              <w:right w:w="100" w:type="dxa"/>
            </w:tcMar>
            <w:vAlign w:val="center"/>
          </w:tcPr>
          <w:p>
            <w:r>
              <w:rPr>
                <w:rFonts w:ascii="Calibri" w:hAnsi="Calibri"/>
                <w:sz w:val="18"/>
              </w:rPr>
              <w:t>FR-12</w:t>
            </w:r>
          </w:p>
        </w:tc>
        <w:tc>
          <w:tcPr>
            <w:tcW w:type="dxa" w:w="2160"/>
            <w:shd w:fill="F8FAFC"/>
            <w:tcMar>
              <w:top w:w="70" w:type="dxa"/>
              <w:bottom w:w="70" w:type="dxa"/>
              <w:left w:w="100" w:type="dxa"/>
              <w:right w:w="100" w:type="dxa"/>
            </w:tcMar>
            <w:vAlign w:val="center"/>
          </w:tcPr>
          <w:p>
            <w:r>
              <w:rPr>
                <w:rFonts w:ascii="Calibri" w:hAnsi="Calibri"/>
                <w:sz w:val="18"/>
              </w:rPr>
              <w:t>Grade Grievance Workflow</w:t>
            </w:r>
          </w:p>
        </w:tc>
        <w:tc>
          <w:tcPr>
            <w:tcW w:type="dxa" w:w="3168"/>
            <w:shd w:fill="F8FAFC"/>
            <w:tcMar>
              <w:top w:w="70" w:type="dxa"/>
              <w:bottom w:w="70" w:type="dxa"/>
              <w:left w:w="100" w:type="dxa"/>
              <w:right w:w="100" w:type="dxa"/>
            </w:tcMar>
            <w:vAlign w:val="center"/>
          </w:tcPr>
          <w:p>
            <w:r>
              <w:rPr>
                <w:rFonts w:ascii="Calibri" w:hAnsi="Calibri"/>
                <w:sz w:val="18"/>
              </w:rPr>
              <w:t>Provides students an interface to submit re-evaluation/grievance requests with reason text. Faculty review and approve/reject with audit justification.</w:t>
            </w:r>
          </w:p>
        </w:tc>
        <w:tc>
          <w:tcPr>
            <w:tcW w:type="dxa" w:w="1440"/>
            <w:shd w:fill="F8FAFC"/>
            <w:tcMar>
              <w:top w:w="70" w:type="dxa"/>
              <w:bottom w:w="70" w:type="dxa"/>
              <w:left w:w="100" w:type="dxa"/>
              <w:right w:w="100" w:type="dxa"/>
            </w:tcMar>
            <w:vAlign w:val="center"/>
          </w:tcPr>
          <w:p>
            <w:r>
              <w:rPr>
                <w:rFonts w:ascii="Calibri" w:hAnsi="Calibri"/>
                <w:sz w:val="18"/>
              </w:rPr>
              <w:t>Grievance Ticket Status</w:t>
            </w:r>
          </w:p>
        </w:tc>
        <w:tc>
          <w:tcPr>
            <w:tcW w:type="dxa" w:w="1296"/>
            <w:shd w:fill="F8FAFC"/>
            <w:tcMar>
              <w:top w:w="70" w:type="dxa"/>
              <w:bottom w:w="70" w:type="dxa"/>
              <w:left w:w="100" w:type="dxa"/>
              <w:right w:w="100" w:type="dxa"/>
            </w:tcMar>
            <w:vAlign w:val="center"/>
          </w:tcPr>
          <w:p>
            <w:r>
              <w:rPr>
                <w:rFonts w:ascii="Calibri" w:hAnsi="Calibri"/>
                <w:sz w:val="18"/>
              </w:rPr>
              <w:t>Medium (P3)</w:t>
            </w:r>
          </w:p>
        </w:tc>
      </w:tr>
      <w:tr>
        <w:tc>
          <w:tcPr>
            <w:tcW w:type="dxa" w:w="1296"/>
            <w:tcMar>
              <w:top w:w="70" w:type="dxa"/>
              <w:bottom w:w="70" w:type="dxa"/>
              <w:left w:w="100" w:type="dxa"/>
              <w:right w:w="100" w:type="dxa"/>
            </w:tcMar>
            <w:vAlign w:val="center"/>
          </w:tcPr>
          <w:p>
            <w:r>
              <w:rPr>
                <w:rFonts w:ascii="Calibri" w:hAnsi="Calibri"/>
                <w:sz w:val="18"/>
              </w:rPr>
              <w:t>FR-13</w:t>
            </w:r>
          </w:p>
        </w:tc>
        <w:tc>
          <w:tcPr>
            <w:tcW w:type="dxa" w:w="2160"/>
            <w:tcMar>
              <w:top w:w="70" w:type="dxa"/>
              <w:bottom w:w="70" w:type="dxa"/>
              <w:left w:w="100" w:type="dxa"/>
              <w:right w:w="100" w:type="dxa"/>
            </w:tcMar>
            <w:vAlign w:val="center"/>
          </w:tcPr>
          <w:p>
            <w:r>
              <w:rPr>
                <w:rFonts w:ascii="Calibri" w:hAnsi="Calibri"/>
                <w:sz w:val="18"/>
              </w:rPr>
              <w:t>Parent Guardian Portal</w:t>
            </w:r>
          </w:p>
        </w:tc>
        <w:tc>
          <w:tcPr>
            <w:tcW w:type="dxa" w:w="3168"/>
            <w:tcMar>
              <w:top w:w="70" w:type="dxa"/>
              <w:bottom w:w="70" w:type="dxa"/>
              <w:left w:w="100" w:type="dxa"/>
              <w:right w:w="100" w:type="dxa"/>
            </w:tcMar>
            <w:vAlign w:val="center"/>
          </w:tcPr>
          <w:p>
            <w:r>
              <w:rPr>
                <w:rFonts w:ascii="Calibri" w:hAnsi="Calibri"/>
                <w:sz w:val="18"/>
              </w:rPr>
              <w:t>Restricts parent view exclusively to linked children's attendance stats, subject-wise scores, and official teacher notices.</w:t>
            </w:r>
          </w:p>
        </w:tc>
        <w:tc>
          <w:tcPr>
            <w:tcW w:type="dxa" w:w="1440"/>
            <w:tcMar>
              <w:top w:w="70" w:type="dxa"/>
              <w:bottom w:w="70" w:type="dxa"/>
              <w:left w:w="100" w:type="dxa"/>
              <w:right w:w="100" w:type="dxa"/>
            </w:tcMar>
            <w:vAlign w:val="center"/>
          </w:tcPr>
          <w:p>
            <w:r>
              <w:rPr>
                <w:rFonts w:ascii="Calibri" w:hAnsi="Calibri"/>
                <w:sz w:val="18"/>
              </w:rPr>
              <w:t>Filtered Child Dashboard</w:t>
            </w:r>
          </w:p>
        </w:tc>
        <w:tc>
          <w:tcPr>
            <w:tcW w:type="dxa" w:w="1296"/>
            <w:tcMar>
              <w:top w:w="70" w:type="dxa"/>
              <w:bottom w:w="70" w:type="dxa"/>
              <w:left w:w="100" w:type="dxa"/>
              <w:right w:w="100" w:type="dxa"/>
            </w:tcMar>
            <w:vAlign w:val="center"/>
          </w:tcPr>
          <w:p>
            <w:r>
              <w:rPr>
                <w:rFonts w:ascii="Calibri" w:hAnsi="Calibri"/>
                <w:sz w:val="18"/>
              </w:rPr>
              <w:t>High (P2)</w:t>
            </w:r>
          </w:p>
        </w:tc>
      </w:tr>
      <w:tr>
        <w:tc>
          <w:tcPr>
            <w:tcW w:type="dxa" w:w="1296"/>
            <w:shd w:fill="F8FAFC"/>
            <w:tcMar>
              <w:top w:w="70" w:type="dxa"/>
              <w:bottom w:w="70" w:type="dxa"/>
              <w:left w:w="100" w:type="dxa"/>
              <w:right w:w="100" w:type="dxa"/>
            </w:tcMar>
            <w:vAlign w:val="center"/>
          </w:tcPr>
          <w:p>
            <w:r>
              <w:rPr>
                <w:rFonts w:ascii="Calibri" w:hAnsi="Calibri"/>
                <w:sz w:val="18"/>
              </w:rPr>
              <w:t>FR-14</w:t>
            </w:r>
          </w:p>
        </w:tc>
        <w:tc>
          <w:tcPr>
            <w:tcW w:type="dxa" w:w="2160"/>
            <w:shd w:fill="F8FAFC"/>
            <w:tcMar>
              <w:top w:w="70" w:type="dxa"/>
              <w:bottom w:w="70" w:type="dxa"/>
              <w:left w:w="100" w:type="dxa"/>
              <w:right w:w="100" w:type="dxa"/>
            </w:tcMar>
            <w:vAlign w:val="center"/>
          </w:tcPr>
          <w:p>
            <w:r>
              <w:rPr>
                <w:rFonts w:ascii="Calibri" w:hAnsi="Calibri"/>
                <w:sz w:val="18"/>
              </w:rPr>
              <w:t>Immutable Audit Logging</w:t>
            </w:r>
          </w:p>
        </w:tc>
        <w:tc>
          <w:tcPr>
            <w:tcW w:type="dxa" w:w="3168"/>
            <w:shd w:fill="F8FAFC"/>
            <w:tcMar>
              <w:top w:w="70" w:type="dxa"/>
              <w:bottom w:w="70" w:type="dxa"/>
              <w:left w:w="100" w:type="dxa"/>
              <w:right w:w="100" w:type="dxa"/>
            </w:tcMar>
            <w:vAlign w:val="center"/>
          </w:tcPr>
          <w:p>
            <w:r>
              <w:rPr>
                <w:rFonts w:ascii="Calibri" w:hAnsi="Calibri"/>
                <w:sz w:val="18"/>
              </w:rPr>
              <w:t>Records all administrative changes, grade modifications, and authentication attempts in an append-only audit trail table with actor ID and IP.</w:t>
            </w:r>
          </w:p>
        </w:tc>
        <w:tc>
          <w:tcPr>
            <w:tcW w:type="dxa" w:w="1440"/>
            <w:shd w:fill="F8FAFC"/>
            <w:tcMar>
              <w:top w:w="70" w:type="dxa"/>
              <w:bottom w:w="70" w:type="dxa"/>
              <w:left w:w="100" w:type="dxa"/>
              <w:right w:w="100" w:type="dxa"/>
            </w:tcMar>
            <w:vAlign w:val="center"/>
          </w:tcPr>
          <w:p>
            <w:r>
              <w:rPr>
                <w:rFonts w:ascii="Calibri" w:hAnsi="Calibri"/>
                <w:sz w:val="18"/>
              </w:rPr>
              <w:t>Immutable Audit Log Entry</w:t>
            </w:r>
          </w:p>
        </w:tc>
        <w:tc>
          <w:tcPr>
            <w:tcW w:type="dxa" w:w="1296"/>
            <w:shd w:fill="F8FAFC"/>
            <w:tcMar>
              <w:top w:w="70" w:type="dxa"/>
              <w:bottom w:w="70" w:type="dxa"/>
              <w:left w:w="100" w:type="dxa"/>
              <w:right w:w="100" w:type="dxa"/>
            </w:tcMar>
            <w:vAlign w:val="center"/>
          </w:tcPr>
          <w:p>
            <w:r>
              <w:rPr>
                <w:rFonts w:ascii="Calibri" w:hAnsi="Calibri"/>
                <w:sz w:val="18"/>
              </w:rPr>
              <w:t>Critical (P1)</w:t>
            </w:r>
          </w:p>
        </w:tc>
      </w:tr>
      <w:tr>
        <w:tc>
          <w:tcPr>
            <w:tcW w:type="dxa" w:w="1296"/>
            <w:tcMar>
              <w:top w:w="70" w:type="dxa"/>
              <w:bottom w:w="70" w:type="dxa"/>
              <w:left w:w="100" w:type="dxa"/>
              <w:right w:w="100" w:type="dxa"/>
            </w:tcMar>
            <w:vAlign w:val="center"/>
          </w:tcPr>
          <w:p>
            <w:r>
              <w:rPr>
                <w:rFonts w:ascii="Calibri" w:hAnsi="Calibri"/>
                <w:sz w:val="18"/>
              </w:rPr>
              <w:t>FR-15</w:t>
            </w:r>
          </w:p>
        </w:tc>
        <w:tc>
          <w:tcPr>
            <w:tcW w:type="dxa" w:w="2160"/>
            <w:tcMar>
              <w:top w:w="70" w:type="dxa"/>
              <w:bottom w:w="70" w:type="dxa"/>
              <w:left w:w="100" w:type="dxa"/>
              <w:right w:w="100" w:type="dxa"/>
            </w:tcMar>
            <w:vAlign w:val="center"/>
          </w:tcPr>
          <w:p>
            <w:r>
              <w:rPr>
                <w:rFonts w:ascii="Calibri" w:hAnsi="Calibri"/>
                <w:sz w:val="18"/>
              </w:rPr>
              <w:t>Database Backup &amp; Config</w:t>
            </w:r>
          </w:p>
        </w:tc>
        <w:tc>
          <w:tcPr>
            <w:tcW w:type="dxa" w:w="3168"/>
            <w:tcMar>
              <w:top w:w="70" w:type="dxa"/>
              <w:bottom w:w="70" w:type="dxa"/>
              <w:left w:w="100" w:type="dxa"/>
              <w:right w:w="100" w:type="dxa"/>
            </w:tcMar>
            <w:vAlign w:val="center"/>
          </w:tcPr>
          <w:p>
            <w:r>
              <w:rPr>
                <w:rFonts w:ascii="Calibri" w:hAnsi="Calibri"/>
                <w:sz w:val="18"/>
              </w:rPr>
              <w:t>Provides administrative interface for automated database snapshots, academic year rollover, and grade boundary configuration.</w:t>
            </w:r>
          </w:p>
        </w:tc>
        <w:tc>
          <w:tcPr>
            <w:tcW w:type="dxa" w:w="1440"/>
            <w:tcMar>
              <w:top w:w="70" w:type="dxa"/>
              <w:bottom w:w="70" w:type="dxa"/>
              <w:left w:w="100" w:type="dxa"/>
              <w:right w:w="100" w:type="dxa"/>
            </w:tcMar>
            <w:vAlign w:val="center"/>
          </w:tcPr>
          <w:p>
            <w:r>
              <w:rPr>
                <w:rFonts w:ascii="Calibri" w:hAnsi="Calibri"/>
                <w:sz w:val="18"/>
              </w:rPr>
              <w:t>Configuration Snapshot</w:t>
            </w:r>
          </w:p>
        </w:tc>
        <w:tc>
          <w:tcPr>
            <w:tcW w:type="dxa" w:w="1296"/>
            <w:tcMar>
              <w:top w:w="70" w:type="dxa"/>
              <w:bottom w:w="70" w:type="dxa"/>
              <w:left w:w="100" w:type="dxa"/>
              <w:right w:w="100" w:type="dxa"/>
            </w:tcMar>
            <w:vAlign w:val="center"/>
          </w:tcPr>
          <w:p>
            <w:r>
              <w:rPr>
                <w:rFonts w:ascii="Calibri" w:hAnsi="Calibri"/>
                <w:sz w:val="18"/>
              </w:rPr>
              <w:t>Medium (P3)</w:t>
            </w:r>
          </w:p>
        </w:tc>
      </w:tr>
    </w:tbl>
    <w:p>
      <w:pPr>
        <w:pStyle w:val="Heading1"/>
        <w:keepNext/>
        <w:spacing w:before="240" w:after="80"/>
      </w:pPr>
      <w:r>
        <w:rPr>
          <w:b/>
          <w:color w:val="1E3A8A"/>
          <w:sz w:val="30"/>
        </w:rPr>
        <w:t>4. UML Use Case Modeling (draw.io Integrated)</w:t>
      </w:r>
    </w:p>
    <w:p>
      <w:r>
        <w:t>The system behavioral specifications are formally captured via UML Use Case modeling. The complete diagram was designed and rendered using the open industry standard draw.io (diagrams.net). The native diagram source file is version-controlled at `docs/use_case_diagram.drawio` to allow full architectural modification and team collaboration.</w:t>
      </w:r>
    </w:p>
    <w:p/>
    <w:p>
      <w:pPr>
        <w:jc w:val="center"/>
      </w:pPr>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669280" cy="4251960"/>
                    </a:xfrm>
                    <a:prstGeom prst="rect"/>
                  </pic:spPr>
                </pic:pic>
              </a:graphicData>
            </a:graphic>
          </wp:inline>
        </w:drawing>
      </w:r>
    </w:p>
    <w:p>
      <w:pPr>
        <w:jc w:val="center"/>
      </w:pPr>
      <w:r>
        <w:rPr>
          <w:rFonts w:ascii="Calibri" w:hAnsi="Calibri"/>
          <w:b/>
          <w:i/>
          <w:color w:val="1E3A8A"/>
          <w:sz w:val="19"/>
        </w:rPr>
        <w:t>Figure 4.1: EduTrack UML Use Case Diagram (IEEE 830 Specification - Created in draw.io)</w:t>
      </w:r>
    </w:p>
    <w:p>
      <w:pPr>
        <w:pStyle w:val="Heading2"/>
        <w:keepNext/>
        <w:spacing w:before="240" w:after="80"/>
      </w:pPr>
      <w:r>
        <w:rPr>
          <w:b/>
          <w:color w:val="0F172A"/>
          <w:sz w:val="24"/>
        </w:rPr>
        <w:t>4.1 Actor Specifications</w:t>
      </w:r>
    </w:p>
    <w:p>
      <w:r>
        <w:t>1. Administrator: System superuser managing master catalogs, student onboarding, security configurations, and audit review.</w:t>
        <w:br/>
        <w:t>2. Faculty / Instructor: Academic staff conducting course sessions, recording attendance, evaluating marks, and resolving student grievances.</w:t>
        <w:br/>
        <w:t>3. Student: Registered student inspecting their personal attendance percentages, course grades, GPA calculations, and filing academic re-evaluations.</w:t>
        <w:br/>
        <w:t>4. Parent / Guardian: Authorized guardian monitoring assigned child's academic trajectory and receiving proactive attendance shortage alerts.</w:t>
      </w:r>
    </w:p>
    <w:p>
      <w:pPr>
        <w:pStyle w:val="Heading2"/>
        <w:keepNext/>
        <w:spacing w:before="240" w:after="80"/>
      </w:pPr>
      <w:r>
        <w:rPr>
          <w:b/>
          <w:color w:val="0F172A"/>
          <w:sz w:val="24"/>
        </w:rPr>
        <w:t>4.2 Use Case Specifications Table (UC-01 to UC-12)</w:t>
      </w:r>
    </w:p>
    <w:tbl>
      <w:tblPr>
        <w:tblW w:type="auto" w:w="0"/>
        <w:jc w:val="center"/>
        <w:tblLook w:firstColumn="1" w:firstRow="1" w:lastColumn="0" w:lastRow="0" w:noHBand="0" w:noVBand="1" w:val="04A0"/>
      </w:tblPr>
      <w:tblGrid>
        <w:gridCol w:w="2340"/>
        <w:gridCol w:w="2340"/>
        <w:gridCol w:w="2340"/>
        <w:gridCol w:w="2340"/>
      </w:tblGrid>
      <w:tr>
        <w:tc>
          <w:tcPr>
            <w:tcW w:type="dxa" w:w="1296"/>
            <w:shd w:fill="1E3A8A"/>
            <w:tcMar>
              <w:top w:w="120" w:type="dxa"/>
              <w:bottom w:w="120" w:type="dxa"/>
              <w:left w:w="140" w:type="dxa"/>
              <w:right w:w="140" w:type="dxa"/>
            </w:tcMar>
            <w:vAlign w:val="center"/>
          </w:tcPr>
          <w:p>
            <w:pPr>
              <w:jc w:val="left"/>
            </w:pPr>
            <w:r>
              <w:rPr>
                <w:rFonts w:ascii="Calibri" w:hAnsi="Calibri"/>
                <w:b/>
                <w:color w:val="FFFFFF"/>
                <w:sz w:val="19"/>
              </w:rPr>
              <w:t>UC ID</w:t>
            </w:r>
          </w:p>
        </w:tc>
        <w:tc>
          <w:tcPr>
            <w:tcW w:type="dxa" w:w="2592"/>
            <w:shd w:fill="1E3A8A"/>
            <w:tcMar>
              <w:top w:w="120" w:type="dxa"/>
              <w:bottom w:w="120" w:type="dxa"/>
              <w:left w:w="140" w:type="dxa"/>
              <w:right w:w="140" w:type="dxa"/>
            </w:tcMar>
            <w:vAlign w:val="center"/>
          </w:tcPr>
          <w:p>
            <w:pPr>
              <w:jc w:val="left"/>
            </w:pPr>
            <w:r>
              <w:rPr>
                <w:rFonts w:ascii="Calibri" w:hAnsi="Calibri"/>
                <w:b/>
                <w:color w:val="FFFFFF"/>
                <w:sz w:val="19"/>
              </w:rPr>
              <w:t>Use Case Name</w:t>
            </w:r>
          </w:p>
        </w:tc>
        <w:tc>
          <w:tcPr>
            <w:tcW w:type="dxa" w:w="2160"/>
            <w:shd w:fill="1E3A8A"/>
            <w:tcMar>
              <w:top w:w="120" w:type="dxa"/>
              <w:bottom w:w="120" w:type="dxa"/>
              <w:left w:w="140" w:type="dxa"/>
              <w:right w:w="140" w:type="dxa"/>
            </w:tcMar>
            <w:vAlign w:val="center"/>
          </w:tcPr>
          <w:p>
            <w:pPr>
              <w:jc w:val="left"/>
            </w:pPr>
            <w:r>
              <w:rPr>
                <w:rFonts w:ascii="Calibri" w:hAnsi="Calibri"/>
                <w:b/>
                <w:color w:val="FFFFFF"/>
                <w:sz w:val="19"/>
              </w:rPr>
              <w:t>Primary Actor</w:t>
            </w:r>
          </w:p>
        </w:tc>
        <w:tc>
          <w:tcPr>
            <w:tcW w:type="dxa" w:w="3312"/>
            <w:shd w:fill="1E3A8A"/>
            <w:tcMar>
              <w:top w:w="120" w:type="dxa"/>
              <w:bottom w:w="120" w:type="dxa"/>
              <w:left w:w="140" w:type="dxa"/>
              <w:right w:w="140" w:type="dxa"/>
            </w:tcMar>
            <w:vAlign w:val="center"/>
          </w:tcPr>
          <w:p>
            <w:pPr>
              <w:jc w:val="left"/>
            </w:pPr>
            <w:r>
              <w:rPr>
                <w:rFonts w:ascii="Calibri" w:hAnsi="Calibri"/>
                <w:b/>
                <w:color w:val="FFFFFF"/>
                <w:sz w:val="19"/>
              </w:rPr>
              <w:t>Trigger &amp; Key Execution Flow</w:t>
            </w:r>
          </w:p>
        </w:tc>
      </w:tr>
      <w:tr>
        <w:tc>
          <w:tcPr>
            <w:tcW w:type="dxa" w:w="1296"/>
            <w:tcMar>
              <w:top w:w="70" w:type="dxa"/>
              <w:bottom w:w="70" w:type="dxa"/>
              <w:left w:w="100" w:type="dxa"/>
              <w:right w:w="100" w:type="dxa"/>
            </w:tcMar>
            <w:vAlign w:val="center"/>
          </w:tcPr>
          <w:p>
            <w:r>
              <w:rPr>
                <w:rFonts w:ascii="Calibri" w:hAnsi="Calibri"/>
                <w:sz w:val="18"/>
              </w:rPr>
              <w:t>UC-01</w:t>
            </w:r>
          </w:p>
        </w:tc>
        <w:tc>
          <w:tcPr>
            <w:tcW w:type="dxa" w:w="2592"/>
            <w:tcMar>
              <w:top w:w="70" w:type="dxa"/>
              <w:bottom w:w="70" w:type="dxa"/>
              <w:left w:w="100" w:type="dxa"/>
              <w:right w:w="100" w:type="dxa"/>
            </w:tcMar>
            <w:vAlign w:val="center"/>
          </w:tcPr>
          <w:p>
            <w:r>
              <w:rPr>
                <w:rFonts w:ascii="Calibri" w:hAnsi="Calibri"/>
                <w:sz w:val="18"/>
              </w:rPr>
              <w:t>Authenticate / Multi-Factor Login</w:t>
            </w:r>
          </w:p>
        </w:tc>
        <w:tc>
          <w:tcPr>
            <w:tcW w:type="dxa" w:w="2160"/>
            <w:tcMar>
              <w:top w:w="70" w:type="dxa"/>
              <w:bottom w:w="70" w:type="dxa"/>
              <w:left w:w="100" w:type="dxa"/>
              <w:right w:w="100" w:type="dxa"/>
            </w:tcMar>
            <w:vAlign w:val="center"/>
          </w:tcPr>
          <w:p>
            <w:r>
              <w:rPr>
                <w:rFonts w:ascii="Calibri" w:hAnsi="Calibri"/>
                <w:sz w:val="18"/>
              </w:rPr>
              <w:t>All Actors</w:t>
            </w:r>
          </w:p>
        </w:tc>
        <w:tc>
          <w:tcPr>
            <w:tcW w:type="dxa" w:w="3312"/>
            <w:tcMar>
              <w:top w:w="70" w:type="dxa"/>
              <w:bottom w:w="70" w:type="dxa"/>
              <w:left w:w="100" w:type="dxa"/>
              <w:right w:w="100" w:type="dxa"/>
            </w:tcMar>
            <w:vAlign w:val="center"/>
          </w:tcPr>
          <w:p>
            <w:r>
              <w:rPr>
                <w:rFonts w:ascii="Calibri" w:hAnsi="Calibri"/>
                <w:sz w:val="18"/>
              </w:rPr>
              <w:t>Actor provides valid credentials; system verifies Bcrypt hash, validates MFA token, and issues JWT.</w:t>
            </w:r>
          </w:p>
        </w:tc>
      </w:tr>
      <w:tr>
        <w:tc>
          <w:tcPr>
            <w:tcW w:type="dxa" w:w="1296"/>
            <w:shd w:fill="F8FAFC"/>
            <w:tcMar>
              <w:top w:w="70" w:type="dxa"/>
              <w:bottom w:w="70" w:type="dxa"/>
              <w:left w:w="100" w:type="dxa"/>
              <w:right w:w="100" w:type="dxa"/>
            </w:tcMar>
            <w:vAlign w:val="center"/>
          </w:tcPr>
          <w:p>
            <w:r>
              <w:rPr>
                <w:rFonts w:ascii="Calibri" w:hAnsi="Calibri"/>
                <w:sz w:val="18"/>
              </w:rPr>
              <w:t>UC-02</w:t>
            </w:r>
          </w:p>
        </w:tc>
        <w:tc>
          <w:tcPr>
            <w:tcW w:type="dxa" w:w="2592"/>
            <w:shd w:fill="F8FAFC"/>
            <w:tcMar>
              <w:top w:w="70" w:type="dxa"/>
              <w:bottom w:w="70" w:type="dxa"/>
              <w:left w:w="100" w:type="dxa"/>
              <w:right w:w="100" w:type="dxa"/>
            </w:tcMar>
            <w:vAlign w:val="center"/>
          </w:tcPr>
          <w:p>
            <w:r>
              <w:rPr>
                <w:rFonts w:ascii="Calibri" w:hAnsi="Calibri"/>
                <w:sz w:val="18"/>
              </w:rPr>
              <w:t>Manage Student Records (CRUD)</w:t>
            </w:r>
          </w:p>
        </w:tc>
        <w:tc>
          <w:tcPr>
            <w:tcW w:type="dxa" w:w="2160"/>
            <w:shd w:fill="F8FAFC"/>
            <w:tcMar>
              <w:top w:w="70" w:type="dxa"/>
              <w:bottom w:w="70" w:type="dxa"/>
              <w:left w:w="100" w:type="dxa"/>
              <w:right w:w="100" w:type="dxa"/>
            </w:tcMar>
            <w:vAlign w:val="center"/>
          </w:tcPr>
          <w:p>
            <w:r>
              <w:rPr>
                <w:rFonts w:ascii="Calibri" w:hAnsi="Calibri"/>
                <w:sz w:val="18"/>
              </w:rPr>
              <w:t>Administrator</w:t>
            </w:r>
          </w:p>
        </w:tc>
        <w:tc>
          <w:tcPr>
            <w:tcW w:type="dxa" w:w="3312"/>
            <w:shd w:fill="F8FAFC"/>
            <w:tcMar>
              <w:top w:w="70" w:type="dxa"/>
              <w:bottom w:w="70" w:type="dxa"/>
              <w:left w:w="100" w:type="dxa"/>
              <w:right w:w="100" w:type="dxa"/>
            </w:tcMar>
            <w:vAlign w:val="center"/>
          </w:tcPr>
          <w:p>
            <w:r>
              <w:rPr>
                <w:rFonts w:ascii="Calibri" w:hAnsi="Calibri"/>
                <w:sz w:val="18"/>
              </w:rPr>
              <w:t>Admin adds, modifies, or deactivates student records with USN validation and department association.</w:t>
            </w:r>
          </w:p>
        </w:tc>
      </w:tr>
      <w:tr>
        <w:tc>
          <w:tcPr>
            <w:tcW w:type="dxa" w:w="1296"/>
            <w:tcMar>
              <w:top w:w="70" w:type="dxa"/>
              <w:bottom w:w="70" w:type="dxa"/>
              <w:left w:w="100" w:type="dxa"/>
              <w:right w:w="100" w:type="dxa"/>
            </w:tcMar>
            <w:vAlign w:val="center"/>
          </w:tcPr>
          <w:p>
            <w:r>
              <w:rPr>
                <w:rFonts w:ascii="Calibri" w:hAnsi="Calibri"/>
                <w:sz w:val="18"/>
              </w:rPr>
              <w:t>UC-03</w:t>
            </w:r>
          </w:p>
        </w:tc>
        <w:tc>
          <w:tcPr>
            <w:tcW w:type="dxa" w:w="2592"/>
            <w:tcMar>
              <w:top w:w="70" w:type="dxa"/>
              <w:bottom w:w="70" w:type="dxa"/>
              <w:left w:w="100" w:type="dxa"/>
              <w:right w:w="100" w:type="dxa"/>
            </w:tcMar>
            <w:vAlign w:val="center"/>
          </w:tcPr>
          <w:p>
            <w:r>
              <w:rPr>
                <w:rFonts w:ascii="Calibri" w:hAnsi="Calibri"/>
                <w:sz w:val="18"/>
              </w:rPr>
              <w:t>Manage Courses &amp; Batch Allocations</w:t>
            </w:r>
          </w:p>
        </w:tc>
        <w:tc>
          <w:tcPr>
            <w:tcW w:type="dxa" w:w="2160"/>
            <w:tcMar>
              <w:top w:w="70" w:type="dxa"/>
              <w:bottom w:w="70" w:type="dxa"/>
              <w:left w:w="100" w:type="dxa"/>
              <w:right w:w="100" w:type="dxa"/>
            </w:tcMar>
            <w:vAlign w:val="center"/>
          </w:tcPr>
          <w:p>
            <w:r>
              <w:rPr>
                <w:rFonts w:ascii="Calibri" w:hAnsi="Calibri"/>
                <w:sz w:val="18"/>
              </w:rPr>
              <w:t>Administrator, Faculty</w:t>
            </w:r>
          </w:p>
        </w:tc>
        <w:tc>
          <w:tcPr>
            <w:tcW w:type="dxa" w:w="3312"/>
            <w:tcMar>
              <w:top w:w="70" w:type="dxa"/>
              <w:bottom w:w="70" w:type="dxa"/>
              <w:left w:w="100" w:type="dxa"/>
              <w:right w:w="100" w:type="dxa"/>
            </w:tcMar>
            <w:vAlign w:val="center"/>
          </w:tcPr>
          <w:p>
            <w:r>
              <w:rPr>
                <w:rFonts w:ascii="Calibri" w:hAnsi="Calibri"/>
                <w:sz w:val="18"/>
              </w:rPr>
              <w:t>Admin establishes courses; faculty views assigned academic batches and student rosters.</w:t>
            </w:r>
          </w:p>
        </w:tc>
      </w:tr>
      <w:tr>
        <w:tc>
          <w:tcPr>
            <w:tcW w:type="dxa" w:w="1296"/>
            <w:shd w:fill="F8FAFC"/>
            <w:tcMar>
              <w:top w:w="70" w:type="dxa"/>
              <w:bottom w:w="70" w:type="dxa"/>
              <w:left w:w="100" w:type="dxa"/>
              <w:right w:w="100" w:type="dxa"/>
            </w:tcMar>
            <w:vAlign w:val="center"/>
          </w:tcPr>
          <w:p>
            <w:r>
              <w:rPr>
                <w:rFonts w:ascii="Calibri" w:hAnsi="Calibri"/>
                <w:sz w:val="18"/>
              </w:rPr>
              <w:t>UC-04</w:t>
            </w:r>
          </w:p>
        </w:tc>
        <w:tc>
          <w:tcPr>
            <w:tcW w:type="dxa" w:w="2592"/>
            <w:shd w:fill="F8FAFC"/>
            <w:tcMar>
              <w:top w:w="70" w:type="dxa"/>
              <w:bottom w:w="70" w:type="dxa"/>
              <w:left w:w="100" w:type="dxa"/>
              <w:right w:w="100" w:type="dxa"/>
            </w:tcMar>
            <w:vAlign w:val="center"/>
          </w:tcPr>
          <w:p>
            <w:r>
              <w:rPr>
                <w:rFonts w:ascii="Calibri" w:hAnsi="Calibri"/>
                <w:sz w:val="18"/>
              </w:rPr>
              <w:t>Mark Daily Session Attendance</w:t>
            </w:r>
          </w:p>
        </w:tc>
        <w:tc>
          <w:tcPr>
            <w:tcW w:type="dxa" w:w="2160"/>
            <w:shd w:fill="F8FAFC"/>
            <w:tcMar>
              <w:top w:w="70" w:type="dxa"/>
              <w:bottom w:w="70" w:type="dxa"/>
              <w:left w:w="100" w:type="dxa"/>
              <w:right w:w="100" w:type="dxa"/>
            </w:tcMar>
            <w:vAlign w:val="center"/>
          </w:tcPr>
          <w:p>
            <w:r>
              <w:rPr>
                <w:rFonts w:ascii="Calibri" w:hAnsi="Calibri"/>
                <w:sz w:val="18"/>
              </w:rPr>
              <w:t>Faculty</w:t>
            </w:r>
          </w:p>
        </w:tc>
        <w:tc>
          <w:tcPr>
            <w:tcW w:type="dxa" w:w="3312"/>
            <w:shd w:fill="F8FAFC"/>
            <w:tcMar>
              <w:top w:w="70" w:type="dxa"/>
              <w:bottom w:w="70" w:type="dxa"/>
              <w:left w:w="100" w:type="dxa"/>
              <w:right w:w="100" w:type="dxa"/>
            </w:tcMar>
            <w:vAlign w:val="center"/>
          </w:tcPr>
          <w:p>
            <w:r>
              <w:rPr>
                <w:rFonts w:ascii="Calibri" w:hAnsi="Calibri"/>
                <w:sz w:val="18"/>
              </w:rPr>
              <w:t>Faculty selects class, marks attendance flags per student; system commits batch record with timestamp.</w:t>
            </w:r>
          </w:p>
        </w:tc>
      </w:tr>
      <w:tr>
        <w:tc>
          <w:tcPr>
            <w:tcW w:type="dxa" w:w="1296"/>
            <w:tcMar>
              <w:top w:w="70" w:type="dxa"/>
              <w:bottom w:w="70" w:type="dxa"/>
              <w:left w:w="100" w:type="dxa"/>
              <w:right w:w="100" w:type="dxa"/>
            </w:tcMar>
            <w:vAlign w:val="center"/>
          </w:tcPr>
          <w:p>
            <w:r>
              <w:rPr>
                <w:rFonts w:ascii="Calibri" w:hAnsi="Calibri"/>
                <w:sz w:val="18"/>
              </w:rPr>
              <w:t>UC-05</w:t>
            </w:r>
          </w:p>
        </w:tc>
        <w:tc>
          <w:tcPr>
            <w:tcW w:type="dxa" w:w="2592"/>
            <w:tcMar>
              <w:top w:w="70" w:type="dxa"/>
              <w:bottom w:w="70" w:type="dxa"/>
              <w:left w:w="100" w:type="dxa"/>
              <w:right w:w="100" w:type="dxa"/>
            </w:tcMar>
            <w:vAlign w:val="center"/>
          </w:tcPr>
          <w:p>
            <w:r>
              <w:rPr>
                <w:rFonts w:ascii="Calibri" w:hAnsi="Calibri"/>
                <w:sz w:val="18"/>
              </w:rPr>
              <w:t>Enter Marks &amp; Compute Grades</w:t>
            </w:r>
          </w:p>
        </w:tc>
        <w:tc>
          <w:tcPr>
            <w:tcW w:type="dxa" w:w="2160"/>
            <w:tcMar>
              <w:top w:w="70" w:type="dxa"/>
              <w:bottom w:w="70" w:type="dxa"/>
              <w:left w:w="100" w:type="dxa"/>
              <w:right w:w="100" w:type="dxa"/>
            </w:tcMar>
            <w:vAlign w:val="center"/>
          </w:tcPr>
          <w:p>
            <w:r>
              <w:rPr>
                <w:rFonts w:ascii="Calibri" w:hAnsi="Calibri"/>
                <w:sz w:val="18"/>
              </w:rPr>
              <w:t>Faculty</w:t>
            </w:r>
          </w:p>
        </w:tc>
        <w:tc>
          <w:tcPr>
            <w:tcW w:type="dxa" w:w="3312"/>
            <w:tcMar>
              <w:top w:w="70" w:type="dxa"/>
              <w:bottom w:w="70" w:type="dxa"/>
              <w:left w:w="100" w:type="dxa"/>
              <w:right w:w="100" w:type="dxa"/>
            </w:tcMar>
            <w:vAlign w:val="center"/>
          </w:tcPr>
          <w:p>
            <w:r>
              <w:rPr>
                <w:rFonts w:ascii="Calibri" w:hAnsi="Calibri"/>
                <w:sz w:val="18"/>
              </w:rPr>
              <w:t>Faculty inputs assessment scores; automated grading engine maps raw marks to letter grades and grade points.</w:t>
            </w:r>
          </w:p>
        </w:tc>
      </w:tr>
      <w:tr>
        <w:tc>
          <w:tcPr>
            <w:tcW w:type="dxa" w:w="1296"/>
            <w:shd w:fill="F8FAFC"/>
            <w:tcMar>
              <w:top w:w="70" w:type="dxa"/>
              <w:bottom w:w="70" w:type="dxa"/>
              <w:left w:w="100" w:type="dxa"/>
              <w:right w:w="100" w:type="dxa"/>
            </w:tcMar>
            <w:vAlign w:val="center"/>
          </w:tcPr>
          <w:p>
            <w:r>
              <w:rPr>
                <w:rFonts w:ascii="Calibri" w:hAnsi="Calibri"/>
                <w:sz w:val="18"/>
              </w:rPr>
              <w:t>UC-06</w:t>
            </w:r>
          </w:p>
        </w:tc>
        <w:tc>
          <w:tcPr>
            <w:tcW w:type="dxa" w:w="2592"/>
            <w:shd w:fill="F8FAFC"/>
            <w:tcMar>
              <w:top w:w="70" w:type="dxa"/>
              <w:bottom w:w="70" w:type="dxa"/>
              <w:left w:w="100" w:type="dxa"/>
              <w:right w:w="100" w:type="dxa"/>
            </w:tcMar>
            <w:vAlign w:val="center"/>
          </w:tcPr>
          <w:p>
            <w:r>
              <w:rPr>
                <w:rFonts w:ascii="Calibri" w:hAnsi="Calibri"/>
                <w:sz w:val="18"/>
              </w:rPr>
              <w:t>View Own Grades &amp; Attendance %</w:t>
            </w:r>
          </w:p>
        </w:tc>
        <w:tc>
          <w:tcPr>
            <w:tcW w:type="dxa" w:w="2160"/>
            <w:shd w:fill="F8FAFC"/>
            <w:tcMar>
              <w:top w:w="70" w:type="dxa"/>
              <w:bottom w:w="70" w:type="dxa"/>
              <w:left w:w="100" w:type="dxa"/>
              <w:right w:w="100" w:type="dxa"/>
            </w:tcMar>
            <w:vAlign w:val="center"/>
          </w:tcPr>
          <w:p>
            <w:r>
              <w:rPr>
                <w:rFonts w:ascii="Calibri" w:hAnsi="Calibri"/>
                <w:sz w:val="18"/>
              </w:rPr>
              <w:t>Student</w:t>
            </w:r>
          </w:p>
        </w:tc>
        <w:tc>
          <w:tcPr>
            <w:tcW w:type="dxa" w:w="3312"/>
            <w:shd w:fill="F8FAFC"/>
            <w:tcMar>
              <w:top w:w="70" w:type="dxa"/>
              <w:bottom w:w="70" w:type="dxa"/>
              <w:left w:w="100" w:type="dxa"/>
              <w:right w:w="100" w:type="dxa"/>
            </w:tcMar>
            <w:vAlign w:val="center"/>
          </w:tcPr>
          <w:p>
            <w:r>
              <w:rPr>
                <w:rFonts w:ascii="Calibri" w:hAnsi="Calibri"/>
                <w:sz w:val="18"/>
              </w:rPr>
              <w:t>Student requests dashboard; system filters data strictly by authenticated user ID and renders stats.</w:t>
            </w:r>
          </w:p>
        </w:tc>
      </w:tr>
      <w:tr>
        <w:tc>
          <w:tcPr>
            <w:tcW w:type="dxa" w:w="1296"/>
            <w:tcMar>
              <w:top w:w="70" w:type="dxa"/>
              <w:bottom w:w="70" w:type="dxa"/>
              <w:left w:w="100" w:type="dxa"/>
              <w:right w:w="100" w:type="dxa"/>
            </w:tcMar>
            <w:vAlign w:val="center"/>
          </w:tcPr>
          <w:p>
            <w:r>
              <w:rPr>
                <w:rFonts w:ascii="Calibri" w:hAnsi="Calibri"/>
                <w:sz w:val="18"/>
              </w:rPr>
              <w:t>UC-07</w:t>
            </w:r>
          </w:p>
        </w:tc>
        <w:tc>
          <w:tcPr>
            <w:tcW w:type="dxa" w:w="2592"/>
            <w:tcMar>
              <w:top w:w="70" w:type="dxa"/>
              <w:bottom w:w="70" w:type="dxa"/>
              <w:left w:w="100" w:type="dxa"/>
              <w:right w:w="100" w:type="dxa"/>
            </w:tcMar>
            <w:vAlign w:val="center"/>
          </w:tcPr>
          <w:p>
            <w:r>
              <w:rPr>
                <w:rFonts w:ascii="Calibri" w:hAnsi="Calibri"/>
                <w:sz w:val="18"/>
              </w:rPr>
              <w:t>Download PDF Grade Card</w:t>
            </w:r>
          </w:p>
        </w:tc>
        <w:tc>
          <w:tcPr>
            <w:tcW w:type="dxa" w:w="2160"/>
            <w:tcMar>
              <w:top w:w="70" w:type="dxa"/>
              <w:bottom w:w="70" w:type="dxa"/>
              <w:left w:w="100" w:type="dxa"/>
              <w:right w:w="100" w:type="dxa"/>
            </w:tcMar>
            <w:vAlign w:val="center"/>
          </w:tcPr>
          <w:p>
            <w:r>
              <w:rPr>
                <w:rFonts w:ascii="Calibri" w:hAnsi="Calibri"/>
                <w:sz w:val="18"/>
              </w:rPr>
              <w:t>Student, Parent</w:t>
            </w:r>
          </w:p>
        </w:tc>
        <w:tc>
          <w:tcPr>
            <w:tcW w:type="dxa" w:w="3312"/>
            <w:tcMar>
              <w:top w:w="70" w:type="dxa"/>
              <w:bottom w:w="70" w:type="dxa"/>
              <w:left w:w="100" w:type="dxa"/>
              <w:right w:w="100" w:type="dxa"/>
            </w:tcMar>
            <w:vAlign w:val="center"/>
          </w:tcPr>
          <w:p>
            <w:r>
              <w:rPr>
                <w:rFonts w:ascii="Calibri" w:hAnsi="Calibri"/>
                <w:sz w:val="18"/>
              </w:rPr>
              <w:t>User requests formal transcript; system compiles certified PDF with QR code verification hash.</w:t>
            </w:r>
          </w:p>
        </w:tc>
      </w:tr>
      <w:tr>
        <w:tc>
          <w:tcPr>
            <w:tcW w:type="dxa" w:w="1296"/>
            <w:shd w:fill="F8FAFC"/>
            <w:tcMar>
              <w:top w:w="70" w:type="dxa"/>
              <w:bottom w:w="70" w:type="dxa"/>
              <w:left w:w="100" w:type="dxa"/>
              <w:right w:w="100" w:type="dxa"/>
            </w:tcMar>
            <w:vAlign w:val="center"/>
          </w:tcPr>
          <w:p>
            <w:r>
              <w:rPr>
                <w:rFonts w:ascii="Calibri" w:hAnsi="Calibri"/>
                <w:sz w:val="18"/>
              </w:rPr>
              <w:t>UC-08</w:t>
            </w:r>
          </w:p>
        </w:tc>
        <w:tc>
          <w:tcPr>
            <w:tcW w:type="dxa" w:w="2592"/>
            <w:shd w:fill="F8FAFC"/>
            <w:tcMar>
              <w:top w:w="70" w:type="dxa"/>
              <w:bottom w:w="70" w:type="dxa"/>
              <w:left w:w="100" w:type="dxa"/>
              <w:right w:w="100" w:type="dxa"/>
            </w:tcMar>
            <w:vAlign w:val="center"/>
          </w:tcPr>
          <w:p>
            <w:r>
              <w:rPr>
                <w:rFonts w:ascii="Calibri" w:hAnsi="Calibri"/>
                <w:sz w:val="18"/>
              </w:rPr>
              <w:t>View Linked Child Progress</w:t>
            </w:r>
          </w:p>
        </w:tc>
        <w:tc>
          <w:tcPr>
            <w:tcW w:type="dxa" w:w="2160"/>
            <w:shd w:fill="F8FAFC"/>
            <w:tcMar>
              <w:top w:w="70" w:type="dxa"/>
              <w:bottom w:w="70" w:type="dxa"/>
              <w:left w:w="100" w:type="dxa"/>
              <w:right w:w="100" w:type="dxa"/>
            </w:tcMar>
            <w:vAlign w:val="center"/>
          </w:tcPr>
          <w:p>
            <w:r>
              <w:rPr>
                <w:rFonts w:ascii="Calibri" w:hAnsi="Calibri"/>
                <w:sz w:val="18"/>
              </w:rPr>
              <w:t>Parent</w:t>
            </w:r>
          </w:p>
        </w:tc>
        <w:tc>
          <w:tcPr>
            <w:tcW w:type="dxa" w:w="3312"/>
            <w:shd w:fill="F8FAFC"/>
            <w:tcMar>
              <w:top w:w="70" w:type="dxa"/>
              <w:bottom w:w="70" w:type="dxa"/>
              <w:left w:w="100" w:type="dxa"/>
              <w:right w:w="100" w:type="dxa"/>
            </w:tcMar>
            <w:vAlign w:val="center"/>
          </w:tcPr>
          <w:p>
            <w:r>
              <w:rPr>
                <w:rFonts w:ascii="Calibri" w:hAnsi="Calibri"/>
                <w:sz w:val="18"/>
              </w:rPr>
              <w:t>Parent logs in; system resolves parent-child association table and renders child's performance only.</w:t>
            </w:r>
          </w:p>
        </w:tc>
      </w:tr>
      <w:tr>
        <w:tc>
          <w:tcPr>
            <w:tcW w:type="dxa" w:w="1296"/>
            <w:tcMar>
              <w:top w:w="70" w:type="dxa"/>
              <w:bottom w:w="70" w:type="dxa"/>
              <w:left w:w="100" w:type="dxa"/>
              <w:right w:w="100" w:type="dxa"/>
            </w:tcMar>
            <w:vAlign w:val="center"/>
          </w:tcPr>
          <w:p>
            <w:r>
              <w:rPr>
                <w:rFonts w:ascii="Calibri" w:hAnsi="Calibri"/>
                <w:sz w:val="18"/>
              </w:rPr>
              <w:t>UC-09</w:t>
            </w:r>
          </w:p>
        </w:tc>
        <w:tc>
          <w:tcPr>
            <w:tcW w:type="dxa" w:w="2592"/>
            <w:tcMar>
              <w:top w:w="70" w:type="dxa"/>
              <w:bottom w:w="70" w:type="dxa"/>
              <w:left w:w="100" w:type="dxa"/>
              <w:right w:w="100" w:type="dxa"/>
            </w:tcMar>
            <w:vAlign w:val="center"/>
          </w:tcPr>
          <w:p>
            <w:r>
              <w:rPr>
                <w:rFonts w:ascii="Calibri" w:hAnsi="Calibri"/>
                <w:sz w:val="18"/>
              </w:rPr>
              <w:t>Trigger Attendance Shortage Warning</w:t>
            </w:r>
          </w:p>
        </w:tc>
        <w:tc>
          <w:tcPr>
            <w:tcW w:type="dxa" w:w="2160"/>
            <w:tcMar>
              <w:top w:w="70" w:type="dxa"/>
              <w:bottom w:w="70" w:type="dxa"/>
              <w:left w:w="100" w:type="dxa"/>
              <w:right w:w="100" w:type="dxa"/>
            </w:tcMar>
            <w:vAlign w:val="center"/>
          </w:tcPr>
          <w:p>
            <w:r>
              <w:rPr>
                <w:rFonts w:ascii="Calibri" w:hAnsi="Calibri"/>
                <w:sz w:val="18"/>
              </w:rPr>
              <w:t>Automated / System</w:t>
            </w:r>
          </w:p>
        </w:tc>
        <w:tc>
          <w:tcPr>
            <w:tcW w:type="dxa" w:w="3312"/>
            <w:tcMar>
              <w:top w:w="70" w:type="dxa"/>
              <w:bottom w:w="70" w:type="dxa"/>
              <w:left w:w="100" w:type="dxa"/>
              <w:right w:w="100" w:type="dxa"/>
            </w:tcMar>
            <w:vAlign w:val="center"/>
          </w:tcPr>
          <w:p>
            <w:r>
              <w:rPr>
                <w:rFonts w:ascii="Calibri" w:hAnsi="Calibri"/>
                <w:sz w:val="18"/>
              </w:rPr>
              <w:t>Triggered whenever attendance drops below 75%; dispatches automated email/SMS warning to parent.</w:t>
            </w:r>
          </w:p>
        </w:tc>
      </w:tr>
      <w:tr>
        <w:tc>
          <w:tcPr>
            <w:tcW w:type="dxa" w:w="1296"/>
            <w:shd w:fill="F8FAFC"/>
            <w:tcMar>
              <w:top w:w="70" w:type="dxa"/>
              <w:bottom w:w="70" w:type="dxa"/>
              <w:left w:w="100" w:type="dxa"/>
              <w:right w:w="100" w:type="dxa"/>
            </w:tcMar>
            <w:vAlign w:val="center"/>
          </w:tcPr>
          <w:p>
            <w:r>
              <w:rPr>
                <w:rFonts w:ascii="Calibri" w:hAnsi="Calibri"/>
                <w:sz w:val="18"/>
              </w:rPr>
              <w:t>UC-10</w:t>
            </w:r>
          </w:p>
        </w:tc>
        <w:tc>
          <w:tcPr>
            <w:tcW w:type="dxa" w:w="2592"/>
            <w:shd w:fill="F8FAFC"/>
            <w:tcMar>
              <w:top w:w="70" w:type="dxa"/>
              <w:bottom w:w="70" w:type="dxa"/>
              <w:left w:w="100" w:type="dxa"/>
              <w:right w:w="100" w:type="dxa"/>
            </w:tcMar>
            <w:vAlign w:val="center"/>
          </w:tcPr>
          <w:p>
            <w:r>
              <w:rPr>
                <w:rFonts w:ascii="Calibri" w:hAnsi="Calibri"/>
                <w:sz w:val="18"/>
              </w:rPr>
              <w:t>File Academic Grade Grievance</w:t>
            </w:r>
          </w:p>
        </w:tc>
        <w:tc>
          <w:tcPr>
            <w:tcW w:type="dxa" w:w="2160"/>
            <w:shd w:fill="F8FAFC"/>
            <w:tcMar>
              <w:top w:w="70" w:type="dxa"/>
              <w:bottom w:w="70" w:type="dxa"/>
              <w:left w:w="100" w:type="dxa"/>
              <w:right w:w="100" w:type="dxa"/>
            </w:tcMar>
            <w:vAlign w:val="center"/>
          </w:tcPr>
          <w:p>
            <w:r>
              <w:rPr>
                <w:rFonts w:ascii="Calibri" w:hAnsi="Calibri"/>
                <w:sz w:val="18"/>
              </w:rPr>
              <w:t>Student</w:t>
            </w:r>
          </w:p>
        </w:tc>
        <w:tc>
          <w:tcPr>
            <w:tcW w:type="dxa" w:w="3312"/>
            <w:shd w:fill="F8FAFC"/>
            <w:tcMar>
              <w:top w:w="70" w:type="dxa"/>
              <w:bottom w:w="70" w:type="dxa"/>
              <w:left w:w="100" w:type="dxa"/>
              <w:right w:w="100" w:type="dxa"/>
            </w:tcMar>
            <w:vAlign w:val="center"/>
          </w:tcPr>
          <w:p>
            <w:r>
              <w:rPr>
                <w:rFonts w:ascii="Calibri" w:hAnsi="Calibri"/>
                <w:sz w:val="18"/>
              </w:rPr>
              <w:t>Student identifies grade discrepancy and submits grievance ticket with justification notes.</w:t>
            </w:r>
          </w:p>
        </w:tc>
      </w:tr>
      <w:tr>
        <w:tc>
          <w:tcPr>
            <w:tcW w:type="dxa" w:w="1296"/>
            <w:tcMar>
              <w:top w:w="70" w:type="dxa"/>
              <w:bottom w:w="70" w:type="dxa"/>
              <w:left w:w="100" w:type="dxa"/>
              <w:right w:w="100" w:type="dxa"/>
            </w:tcMar>
            <w:vAlign w:val="center"/>
          </w:tcPr>
          <w:p>
            <w:r>
              <w:rPr>
                <w:rFonts w:ascii="Calibri" w:hAnsi="Calibri"/>
                <w:sz w:val="18"/>
              </w:rPr>
              <w:t>UC-11</w:t>
            </w:r>
          </w:p>
        </w:tc>
        <w:tc>
          <w:tcPr>
            <w:tcW w:type="dxa" w:w="2592"/>
            <w:tcMar>
              <w:top w:w="70" w:type="dxa"/>
              <w:bottom w:w="70" w:type="dxa"/>
              <w:left w:w="100" w:type="dxa"/>
              <w:right w:w="100" w:type="dxa"/>
            </w:tcMar>
            <w:vAlign w:val="center"/>
          </w:tcPr>
          <w:p>
            <w:r>
              <w:rPr>
                <w:rFonts w:ascii="Calibri" w:hAnsi="Calibri"/>
                <w:sz w:val="18"/>
              </w:rPr>
              <w:t>Resolve Grade Grievance</w:t>
            </w:r>
          </w:p>
        </w:tc>
        <w:tc>
          <w:tcPr>
            <w:tcW w:type="dxa" w:w="2160"/>
            <w:tcMar>
              <w:top w:w="70" w:type="dxa"/>
              <w:bottom w:w="70" w:type="dxa"/>
              <w:left w:w="100" w:type="dxa"/>
              <w:right w:w="100" w:type="dxa"/>
            </w:tcMar>
            <w:vAlign w:val="center"/>
          </w:tcPr>
          <w:p>
            <w:r>
              <w:rPr>
                <w:rFonts w:ascii="Calibri" w:hAnsi="Calibri"/>
                <w:sz w:val="18"/>
              </w:rPr>
              <w:t>Faculty, Admin</w:t>
            </w:r>
          </w:p>
        </w:tc>
        <w:tc>
          <w:tcPr>
            <w:tcW w:type="dxa" w:w="3312"/>
            <w:tcMar>
              <w:top w:w="70" w:type="dxa"/>
              <w:bottom w:w="70" w:type="dxa"/>
              <w:left w:w="100" w:type="dxa"/>
              <w:right w:w="100" w:type="dxa"/>
            </w:tcMar>
            <w:vAlign w:val="center"/>
          </w:tcPr>
          <w:p>
            <w:r>
              <w:rPr>
                <w:rFonts w:ascii="Calibri" w:hAnsi="Calibri"/>
                <w:sz w:val="18"/>
              </w:rPr>
              <w:t>Faculty inspects submitted paper, records revised score if justified, and provides resolution comments.</w:t>
            </w:r>
          </w:p>
        </w:tc>
      </w:tr>
      <w:tr>
        <w:tc>
          <w:tcPr>
            <w:tcW w:type="dxa" w:w="1296"/>
            <w:shd w:fill="F8FAFC"/>
            <w:tcMar>
              <w:top w:w="70" w:type="dxa"/>
              <w:bottom w:w="70" w:type="dxa"/>
              <w:left w:w="100" w:type="dxa"/>
              <w:right w:w="100" w:type="dxa"/>
            </w:tcMar>
            <w:vAlign w:val="center"/>
          </w:tcPr>
          <w:p>
            <w:r>
              <w:rPr>
                <w:rFonts w:ascii="Calibri" w:hAnsi="Calibri"/>
                <w:sz w:val="18"/>
              </w:rPr>
              <w:t>UC-12</w:t>
            </w:r>
          </w:p>
        </w:tc>
        <w:tc>
          <w:tcPr>
            <w:tcW w:type="dxa" w:w="2592"/>
            <w:shd w:fill="F8FAFC"/>
            <w:tcMar>
              <w:top w:w="70" w:type="dxa"/>
              <w:bottom w:w="70" w:type="dxa"/>
              <w:left w:w="100" w:type="dxa"/>
              <w:right w:w="100" w:type="dxa"/>
            </w:tcMar>
            <w:vAlign w:val="center"/>
          </w:tcPr>
          <w:p>
            <w:r>
              <w:rPr>
                <w:rFonts w:ascii="Calibri" w:hAnsi="Calibri"/>
                <w:sz w:val="18"/>
              </w:rPr>
              <w:t>Inspect Security Audit Trail</w:t>
            </w:r>
          </w:p>
        </w:tc>
        <w:tc>
          <w:tcPr>
            <w:tcW w:type="dxa" w:w="2160"/>
            <w:shd w:fill="F8FAFC"/>
            <w:tcMar>
              <w:top w:w="70" w:type="dxa"/>
              <w:bottom w:w="70" w:type="dxa"/>
              <w:left w:w="100" w:type="dxa"/>
              <w:right w:w="100" w:type="dxa"/>
            </w:tcMar>
            <w:vAlign w:val="center"/>
          </w:tcPr>
          <w:p>
            <w:r>
              <w:rPr>
                <w:rFonts w:ascii="Calibri" w:hAnsi="Calibri"/>
                <w:sz w:val="18"/>
              </w:rPr>
              <w:t>Administrator</w:t>
            </w:r>
          </w:p>
        </w:tc>
        <w:tc>
          <w:tcPr>
            <w:tcW w:type="dxa" w:w="3312"/>
            <w:shd w:fill="F8FAFC"/>
            <w:tcMar>
              <w:top w:w="70" w:type="dxa"/>
              <w:bottom w:w="70" w:type="dxa"/>
              <w:left w:w="100" w:type="dxa"/>
              <w:right w:w="100" w:type="dxa"/>
            </w:tcMar>
            <w:vAlign w:val="center"/>
          </w:tcPr>
          <w:p>
            <w:r>
              <w:rPr>
                <w:rFonts w:ascii="Calibri" w:hAnsi="Calibri"/>
                <w:sz w:val="18"/>
              </w:rPr>
              <w:t>Admin queries tamper-evident audit table to inspect who performed changes, when, and from which IP.</w:t>
            </w:r>
          </w:p>
        </w:tc>
      </w:tr>
    </w:tbl>
    <w:p>
      <w:pPr>
        <w:pStyle w:val="Heading1"/>
        <w:keepNext/>
        <w:spacing w:before="240" w:after="80"/>
      </w:pPr>
      <w:r>
        <w:rPr>
          <w:b/>
          <w:color w:val="1E3A8A"/>
          <w:sz w:val="30"/>
        </w:rPr>
        <w:t>5. External Interface Requirements</w:t>
      </w:r>
    </w:p>
    <w:p>
      <w:pPr>
        <w:pStyle w:val="Heading2"/>
        <w:keepNext/>
        <w:spacing w:before="240" w:after="80"/>
      </w:pPr>
      <w:r>
        <w:rPr>
          <w:b/>
          <w:color w:val="0F172A"/>
          <w:sz w:val="24"/>
        </w:rPr>
        <w:t>5.1 User Interfaces</w:t>
      </w:r>
    </w:p>
    <w:p>
      <w:r>
        <w:t>• Responsive Web Layout: Clean single-page application built with modern component hierarchies (React.js + Tailwind CSS).</w:t>
        <w:br/>
        <w:t>• Intuitive Dashboards: Role-tailored dashboards preventing cognitive overload (e.g. Student sees course attendance progress bars, Faculty sees grading grids).</w:t>
        <w:br/>
        <w:t>• Error Handling &amp; Validation: Client-side validation providing immediate field feedback alongside server-enforced JSON validation errors.</w:t>
      </w:r>
    </w:p>
    <w:p>
      <w:pPr>
        <w:pStyle w:val="Heading2"/>
        <w:keepNext/>
        <w:spacing w:before="240" w:after="80"/>
      </w:pPr>
      <w:r>
        <w:rPr>
          <w:b/>
          <w:color w:val="0F172A"/>
          <w:sz w:val="24"/>
        </w:rPr>
        <w:t>5.2 Software &amp; API Interfaces</w:t>
      </w:r>
    </w:p>
    <w:p>
      <w:r>
        <w:t>• Relational Database: PostgreSQL 15+ communicating via standard SQL pool (pg driver / Django ORM).</w:t>
        <w:br/>
        <w:t>• Notification Gateway: External SMTP / SMS API (SendGrid / Twilio) over secure HTTPS REST endpoints.</w:t>
        <w:br/>
        <w:t>• PDF Generation Subsystem: Headless PDF renderer (PDFKit / WeasyPrint) generating ISO 19005 (PDF/A) certified documents.</w:t>
      </w:r>
    </w:p>
    <w:p>
      <w:pPr>
        <w:pStyle w:val="Heading2"/>
        <w:keepNext/>
        <w:spacing w:before="240" w:after="80"/>
      </w:pPr>
      <w:r>
        <w:rPr>
          <w:b/>
          <w:color w:val="0F172A"/>
          <w:sz w:val="24"/>
        </w:rPr>
        <w:t>5.3 Communications Interfaces</w:t>
      </w:r>
    </w:p>
    <w:p>
      <w:r>
        <w:t>• Protocol: HTTPS over TLS 1.3 with HSTS enabled.</w:t>
        <w:br/>
        <w:t>• Data Exchange: Strict JSON payloads with UTF-8 character encoding.</w:t>
        <w:br/>
        <w:t>• Cross-Origin Resource Sharing (CORS): Whitelisted origins only with preflight OPTIONS validation.</w:t>
      </w:r>
    </w:p>
    <w:p>
      <w:pPr>
        <w:pStyle w:val="Heading1"/>
        <w:keepNext/>
        <w:spacing w:before="240" w:after="80"/>
      </w:pPr>
      <w:r>
        <w:rPr>
          <w:b/>
          <w:color w:val="1E3A8A"/>
          <w:sz w:val="30"/>
        </w:rPr>
        <w:t>6. Non-Functional Requirements (NFR-01 to NFR-08)</w:t>
      </w:r>
    </w:p>
    <w:tbl>
      <w:tblPr>
        <w:tblW w:type="auto" w:w="0"/>
        <w:jc w:val="center"/>
        <w:tblLook w:firstColumn="1" w:firstRow="1" w:lastColumn="0" w:lastRow="0" w:noHBand="0" w:noVBand="1" w:val="04A0"/>
      </w:tblPr>
      <w:tblGrid>
        <w:gridCol w:w="2340"/>
        <w:gridCol w:w="2340"/>
        <w:gridCol w:w="2340"/>
        <w:gridCol w:w="2340"/>
      </w:tblGrid>
      <w:tr>
        <w:tc>
          <w:tcPr>
            <w:tcW w:type="dxa" w:w="1296"/>
            <w:shd w:fill="1E3A8A"/>
            <w:tcMar>
              <w:top w:w="120" w:type="dxa"/>
              <w:bottom w:w="120" w:type="dxa"/>
              <w:left w:w="140" w:type="dxa"/>
              <w:right w:w="140" w:type="dxa"/>
            </w:tcMar>
            <w:vAlign w:val="center"/>
          </w:tcPr>
          <w:p>
            <w:pPr>
              <w:jc w:val="left"/>
            </w:pPr>
            <w:r>
              <w:rPr>
                <w:rFonts w:ascii="Calibri" w:hAnsi="Calibri"/>
                <w:b/>
                <w:color w:val="FFFFFF"/>
                <w:sz w:val="19"/>
              </w:rPr>
              <w:t>NFR ID</w:t>
            </w:r>
          </w:p>
        </w:tc>
        <w:tc>
          <w:tcPr>
            <w:tcW w:type="dxa" w:w="2592"/>
            <w:shd w:fill="1E3A8A"/>
            <w:tcMar>
              <w:top w:w="120" w:type="dxa"/>
              <w:bottom w:w="120" w:type="dxa"/>
              <w:left w:w="140" w:type="dxa"/>
              <w:right w:w="140" w:type="dxa"/>
            </w:tcMar>
            <w:vAlign w:val="center"/>
          </w:tcPr>
          <w:p>
            <w:pPr>
              <w:jc w:val="left"/>
            </w:pPr>
            <w:r>
              <w:rPr>
                <w:rFonts w:ascii="Calibri" w:hAnsi="Calibri"/>
                <w:b/>
                <w:color w:val="FFFFFF"/>
                <w:sz w:val="19"/>
              </w:rPr>
              <w:t>Quality Category</w:t>
            </w:r>
          </w:p>
        </w:tc>
        <w:tc>
          <w:tcPr>
            <w:tcW w:type="dxa" w:w="3744"/>
            <w:shd w:fill="1E3A8A"/>
            <w:tcMar>
              <w:top w:w="120" w:type="dxa"/>
              <w:bottom w:w="120" w:type="dxa"/>
              <w:left w:w="140" w:type="dxa"/>
              <w:right w:w="140" w:type="dxa"/>
            </w:tcMar>
            <w:vAlign w:val="center"/>
          </w:tcPr>
          <w:p>
            <w:pPr>
              <w:jc w:val="left"/>
            </w:pPr>
            <w:r>
              <w:rPr>
                <w:rFonts w:ascii="Calibri" w:hAnsi="Calibri"/>
                <w:b/>
                <w:color w:val="FFFFFF"/>
                <w:sz w:val="19"/>
              </w:rPr>
              <w:t>Specification &amp; Measurable Metric</w:t>
            </w:r>
          </w:p>
        </w:tc>
        <w:tc>
          <w:tcPr>
            <w:tcW w:type="dxa" w:w="1728"/>
            <w:shd w:fill="1E3A8A"/>
            <w:tcMar>
              <w:top w:w="120" w:type="dxa"/>
              <w:bottom w:w="120" w:type="dxa"/>
              <w:left w:w="140" w:type="dxa"/>
              <w:right w:w="140" w:type="dxa"/>
            </w:tcMar>
            <w:vAlign w:val="center"/>
          </w:tcPr>
          <w:p>
            <w:pPr>
              <w:jc w:val="left"/>
            </w:pPr>
            <w:r>
              <w:rPr>
                <w:rFonts w:ascii="Calibri" w:hAnsi="Calibri"/>
                <w:b/>
                <w:color w:val="FFFFFF"/>
                <w:sz w:val="19"/>
              </w:rPr>
              <w:t>Target SLA</w:t>
            </w:r>
          </w:p>
        </w:tc>
      </w:tr>
      <w:tr>
        <w:tc>
          <w:tcPr>
            <w:tcW w:type="dxa" w:w="1296"/>
            <w:tcMar>
              <w:top w:w="70" w:type="dxa"/>
              <w:bottom w:w="70" w:type="dxa"/>
              <w:left w:w="100" w:type="dxa"/>
              <w:right w:w="100" w:type="dxa"/>
            </w:tcMar>
            <w:vAlign w:val="center"/>
          </w:tcPr>
          <w:p>
            <w:r>
              <w:rPr>
                <w:rFonts w:ascii="Calibri" w:hAnsi="Calibri"/>
                <w:sz w:val="18"/>
              </w:rPr>
              <w:t>NFR-01</w:t>
            </w:r>
          </w:p>
        </w:tc>
        <w:tc>
          <w:tcPr>
            <w:tcW w:type="dxa" w:w="2592"/>
            <w:tcMar>
              <w:top w:w="70" w:type="dxa"/>
              <w:bottom w:w="70" w:type="dxa"/>
              <w:left w:w="100" w:type="dxa"/>
              <w:right w:w="100" w:type="dxa"/>
            </w:tcMar>
            <w:vAlign w:val="center"/>
          </w:tcPr>
          <w:p>
            <w:r>
              <w:rPr>
                <w:rFonts w:ascii="Calibri" w:hAnsi="Calibri"/>
                <w:sz w:val="18"/>
              </w:rPr>
              <w:t>Performance &amp; Latency</w:t>
            </w:r>
          </w:p>
        </w:tc>
        <w:tc>
          <w:tcPr>
            <w:tcW w:type="dxa" w:w="3744"/>
            <w:tcMar>
              <w:top w:w="70" w:type="dxa"/>
              <w:bottom w:w="70" w:type="dxa"/>
              <w:left w:w="100" w:type="dxa"/>
              <w:right w:w="100" w:type="dxa"/>
            </w:tcMar>
            <w:vAlign w:val="center"/>
          </w:tcPr>
          <w:p>
            <w:r>
              <w:rPr>
                <w:rFonts w:ascii="Calibri" w:hAnsi="Calibri"/>
                <w:sz w:val="18"/>
              </w:rPr>
              <w:t>API endpoints must respond within 200ms under standard 95th percentile load. Full grade report generation &lt; 1.0 second.</w:t>
            </w:r>
          </w:p>
        </w:tc>
        <w:tc>
          <w:tcPr>
            <w:tcW w:type="dxa" w:w="1728"/>
            <w:tcMar>
              <w:top w:w="70" w:type="dxa"/>
              <w:bottom w:w="70" w:type="dxa"/>
              <w:left w:w="100" w:type="dxa"/>
              <w:right w:w="100" w:type="dxa"/>
            </w:tcMar>
            <w:vAlign w:val="center"/>
          </w:tcPr>
          <w:p>
            <w:r>
              <w:rPr>
                <w:rFonts w:ascii="Calibri" w:hAnsi="Calibri"/>
                <w:sz w:val="18"/>
              </w:rPr>
              <w:t>95% &lt; 200ms</w:t>
            </w:r>
          </w:p>
        </w:tc>
      </w:tr>
      <w:tr>
        <w:tc>
          <w:tcPr>
            <w:tcW w:type="dxa" w:w="1296"/>
            <w:shd w:fill="F8FAFC"/>
            <w:tcMar>
              <w:top w:w="70" w:type="dxa"/>
              <w:bottom w:w="70" w:type="dxa"/>
              <w:left w:w="100" w:type="dxa"/>
              <w:right w:w="100" w:type="dxa"/>
            </w:tcMar>
            <w:vAlign w:val="center"/>
          </w:tcPr>
          <w:p>
            <w:r>
              <w:rPr>
                <w:rFonts w:ascii="Calibri" w:hAnsi="Calibri"/>
                <w:sz w:val="18"/>
              </w:rPr>
              <w:t>NFR-02</w:t>
            </w:r>
          </w:p>
        </w:tc>
        <w:tc>
          <w:tcPr>
            <w:tcW w:type="dxa" w:w="2592"/>
            <w:shd w:fill="F8FAFC"/>
            <w:tcMar>
              <w:top w:w="70" w:type="dxa"/>
              <w:bottom w:w="70" w:type="dxa"/>
              <w:left w:w="100" w:type="dxa"/>
              <w:right w:w="100" w:type="dxa"/>
            </w:tcMar>
            <w:vAlign w:val="center"/>
          </w:tcPr>
          <w:p>
            <w:r>
              <w:rPr>
                <w:rFonts w:ascii="Calibri" w:hAnsi="Calibri"/>
                <w:sz w:val="18"/>
              </w:rPr>
              <w:t>Concurrency &amp; Scalability</w:t>
            </w:r>
          </w:p>
        </w:tc>
        <w:tc>
          <w:tcPr>
            <w:tcW w:type="dxa" w:w="3744"/>
            <w:shd w:fill="F8FAFC"/>
            <w:tcMar>
              <w:top w:w="70" w:type="dxa"/>
              <w:bottom w:w="70" w:type="dxa"/>
              <w:left w:w="100" w:type="dxa"/>
              <w:right w:w="100" w:type="dxa"/>
            </w:tcMar>
            <w:vAlign w:val="center"/>
          </w:tcPr>
          <w:p>
            <w:r>
              <w:rPr>
                <w:rFonts w:ascii="Calibri" w:hAnsi="Calibri"/>
                <w:sz w:val="18"/>
              </w:rPr>
              <w:t>System must support 5,000 concurrent active users and 50 concurrent attendance submissions without transaction deadlocks.</w:t>
            </w:r>
          </w:p>
        </w:tc>
        <w:tc>
          <w:tcPr>
            <w:tcW w:type="dxa" w:w="1728"/>
            <w:shd w:fill="F8FAFC"/>
            <w:tcMar>
              <w:top w:w="70" w:type="dxa"/>
              <w:bottom w:w="70" w:type="dxa"/>
              <w:left w:w="100" w:type="dxa"/>
              <w:right w:w="100" w:type="dxa"/>
            </w:tcMar>
            <w:vAlign w:val="center"/>
          </w:tcPr>
          <w:p>
            <w:r>
              <w:rPr>
                <w:rFonts w:ascii="Calibri" w:hAnsi="Calibri"/>
                <w:sz w:val="18"/>
              </w:rPr>
              <w:t>5,000 Active Users</w:t>
            </w:r>
          </w:p>
        </w:tc>
      </w:tr>
      <w:tr>
        <w:tc>
          <w:tcPr>
            <w:tcW w:type="dxa" w:w="1296"/>
            <w:tcMar>
              <w:top w:w="70" w:type="dxa"/>
              <w:bottom w:w="70" w:type="dxa"/>
              <w:left w:w="100" w:type="dxa"/>
              <w:right w:w="100" w:type="dxa"/>
            </w:tcMar>
            <w:vAlign w:val="center"/>
          </w:tcPr>
          <w:p>
            <w:r>
              <w:rPr>
                <w:rFonts w:ascii="Calibri" w:hAnsi="Calibri"/>
                <w:sz w:val="18"/>
              </w:rPr>
              <w:t>NFR-03</w:t>
            </w:r>
          </w:p>
        </w:tc>
        <w:tc>
          <w:tcPr>
            <w:tcW w:type="dxa" w:w="2592"/>
            <w:tcMar>
              <w:top w:w="70" w:type="dxa"/>
              <w:bottom w:w="70" w:type="dxa"/>
              <w:left w:w="100" w:type="dxa"/>
              <w:right w:w="100" w:type="dxa"/>
            </w:tcMar>
            <w:vAlign w:val="center"/>
          </w:tcPr>
          <w:p>
            <w:r>
              <w:rPr>
                <w:rFonts w:ascii="Calibri" w:hAnsi="Calibri"/>
                <w:sz w:val="18"/>
              </w:rPr>
              <w:t>Availability &amp; Uptime</w:t>
            </w:r>
          </w:p>
        </w:tc>
        <w:tc>
          <w:tcPr>
            <w:tcW w:type="dxa" w:w="3744"/>
            <w:tcMar>
              <w:top w:w="70" w:type="dxa"/>
              <w:bottom w:w="70" w:type="dxa"/>
              <w:left w:w="100" w:type="dxa"/>
              <w:right w:w="100" w:type="dxa"/>
            </w:tcMar>
            <w:vAlign w:val="center"/>
          </w:tcPr>
          <w:p>
            <w:r>
              <w:rPr>
                <w:rFonts w:ascii="Calibri" w:hAnsi="Calibri"/>
                <w:sz w:val="18"/>
              </w:rPr>
              <w:t>Core academic services must maintain high availability, excluding planned maintenance windows communicated 48h in advance.</w:t>
            </w:r>
          </w:p>
        </w:tc>
        <w:tc>
          <w:tcPr>
            <w:tcW w:type="dxa" w:w="1728"/>
            <w:tcMar>
              <w:top w:w="70" w:type="dxa"/>
              <w:bottom w:w="70" w:type="dxa"/>
              <w:left w:w="100" w:type="dxa"/>
              <w:right w:w="100" w:type="dxa"/>
            </w:tcMar>
            <w:vAlign w:val="center"/>
          </w:tcPr>
          <w:p>
            <w:r>
              <w:rPr>
                <w:rFonts w:ascii="Calibri" w:hAnsi="Calibri"/>
                <w:sz w:val="18"/>
              </w:rPr>
              <w:t>99.9% Uptime</w:t>
            </w:r>
          </w:p>
        </w:tc>
      </w:tr>
      <w:tr>
        <w:tc>
          <w:tcPr>
            <w:tcW w:type="dxa" w:w="1296"/>
            <w:shd w:fill="F8FAFC"/>
            <w:tcMar>
              <w:top w:w="70" w:type="dxa"/>
              <w:bottom w:w="70" w:type="dxa"/>
              <w:left w:w="100" w:type="dxa"/>
              <w:right w:w="100" w:type="dxa"/>
            </w:tcMar>
            <w:vAlign w:val="center"/>
          </w:tcPr>
          <w:p>
            <w:r>
              <w:rPr>
                <w:rFonts w:ascii="Calibri" w:hAnsi="Calibri"/>
                <w:sz w:val="18"/>
              </w:rPr>
              <w:t>NFR-04</w:t>
            </w:r>
          </w:p>
        </w:tc>
        <w:tc>
          <w:tcPr>
            <w:tcW w:type="dxa" w:w="2592"/>
            <w:shd w:fill="F8FAFC"/>
            <w:tcMar>
              <w:top w:w="70" w:type="dxa"/>
              <w:bottom w:w="70" w:type="dxa"/>
              <w:left w:w="100" w:type="dxa"/>
              <w:right w:w="100" w:type="dxa"/>
            </w:tcMar>
            <w:vAlign w:val="center"/>
          </w:tcPr>
          <w:p>
            <w:r>
              <w:rPr>
                <w:rFonts w:ascii="Calibri" w:hAnsi="Calibri"/>
                <w:sz w:val="18"/>
              </w:rPr>
              <w:t>Authentication Security</w:t>
            </w:r>
          </w:p>
        </w:tc>
        <w:tc>
          <w:tcPr>
            <w:tcW w:type="dxa" w:w="3744"/>
            <w:shd w:fill="F8FAFC"/>
            <w:tcMar>
              <w:top w:w="70" w:type="dxa"/>
              <w:bottom w:w="70" w:type="dxa"/>
              <w:left w:w="100" w:type="dxa"/>
              <w:right w:w="100" w:type="dxa"/>
            </w:tcMar>
            <w:vAlign w:val="center"/>
          </w:tcPr>
          <w:p>
            <w:r>
              <w:rPr>
                <w:rFonts w:ascii="Calibri" w:hAnsi="Calibri"/>
                <w:sz w:val="18"/>
              </w:rPr>
              <w:t>Passwords hashed using Bcrypt (cost factor 12). JWT access tokens signed via RS256 with 15-minute expiration and rotating refresh tokens.</w:t>
            </w:r>
          </w:p>
        </w:tc>
        <w:tc>
          <w:tcPr>
            <w:tcW w:type="dxa" w:w="1728"/>
            <w:shd w:fill="F8FAFC"/>
            <w:tcMar>
              <w:top w:w="70" w:type="dxa"/>
              <w:bottom w:w="70" w:type="dxa"/>
              <w:left w:w="100" w:type="dxa"/>
              <w:right w:w="100" w:type="dxa"/>
            </w:tcMar>
            <w:vAlign w:val="center"/>
          </w:tcPr>
          <w:p>
            <w:r>
              <w:rPr>
                <w:rFonts w:ascii="Calibri" w:hAnsi="Calibri"/>
                <w:sz w:val="18"/>
              </w:rPr>
              <w:t>Zero Plaintext Passwords</w:t>
            </w:r>
          </w:p>
        </w:tc>
      </w:tr>
      <w:tr>
        <w:tc>
          <w:tcPr>
            <w:tcW w:type="dxa" w:w="1296"/>
            <w:tcMar>
              <w:top w:w="70" w:type="dxa"/>
              <w:bottom w:w="70" w:type="dxa"/>
              <w:left w:w="100" w:type="dxa"/>
              <w:right w:w="100" w:type="dxa"/>
            </w:tcMar>
            <w:vAlign w:val="center"/>
          </w:tcPr>
          <w:p>
            <w:r>
              <w:rPr>
                <w:rFonts w:ascii="Calibri" w:hAnsi="Calibri"/>
                <w:sz w:val="18"/>
              </w:rPr>
              <w:t>NFR-05</w:t>
            </w:r>
          </w:p>
        </w:tc>
        <w:tc>
          <w:tcPr>
            <w:tcW w:type="dxa" w:w="2592"/>
            <w:tcMar>
              <w:top w:w="70" w:type="dxa"/>
              <w:bottom w:w="70" w:type="dxa"/>
              <w:left w:w="100" w:type="dxa"/>
              <w:right w:w="100" w:type="dxa"/>
            </w:tcMar>
            <w:vAlign w:val="center"/>
          </w:tcPr>
          <w:p>
            <w:r>
              <w:rPr>
                <w:rFonts w:ascii="Calibri" w:hAnsi="Calibri"/>
                <w:sz w:val="18"/>
              </w:rPr>
              <w:t>Data Integrity &amp; ACID</w:t>
            </w:r>
          </w:p>
        </w:tc>
        <w:tc>
          <w:tcPr>
            <w:tcW w:type="dxa" w:w="3744"/>
            <w:tcMar>
              <w:top w:w="70" w:type="dxa"/>
              <w:bottom w:w="70" w:type="dxa"/>
              <w:left w:w="100" w:type="dxa"/>
              <w:right w:w="100" w:type="dxa"/>
            </w:tcMar>
            <w:vAlign w:val="center"/>
          </w:tcPr>
          <w:p>
            <w:r>
              <w:rPr>
                <w:rFonts w:ascii="Calibri" w:hAnsi="Calibri"/>
                <w:sz w:val="18"/>
              </w:rPr>
              <w:t>All grade computations and attendance rollups wrapped in strict database transactions with foreign key cascade integrity.</w:t>
            </w:r>
          </w:p>
        </w:tc>
        <w:tc>
          <w:tcPr>
            <w:tcW w:type="dxa" w:w="1728"/>
            <w:tcMar>
              <w:top w:w="70" w:type="dxa"/>
              <w:bottom w:w="70" w:type="dxa"/>
              <w:left w:w="100" w:type="dxa"/>
              <w:right w:w="100" w:type="dxa"/>
            </w:tcMar>
            <w:vAlign w:val="center"/>
          </w:tcPr>
          <w:p>
            <w:r>
              <w:rPr>
                <w:rFonts w:ascii="Calibri" w:hAnsi="Calibri"/>
                <w:sz w:val="18"/>
              </w:rPr>
              <w:t>100% ACID Compliance</w:t>
            </w:r>
          </w:p>
        </w:tc>
      </w:tr>
      <w:tr>
        <w:tc>
          <w:tcPr>
            <w:tcW w:type="dxa" w:w="1296"/>
            <w:shd w:fill="F8FAFC"/>
            <w:tcMar>
              <w:top w:w="70" w:type="dxa"/>
              <w:bottom w:w="70" w:type="dxa"/>
              <w:left w:w="100" w:type="dxa"/>
              <w:right w:w="100" w:type="dxa"/>
            </w:tcMar>
            <w:vAlign w:val="center"/>
          </w:tcPr>
          <w:p>
            <w:r>
              <w:rPr>
                <w:rFonts w:ascii="Calibri" w:hAnsi="Calibri"/>
                <w:sz w:val="18"/>
              </w:rPr>
              <w:t>NFR-06</w:t>
            </w:r>
          </w:p>
        </w:tc>
        <w:tc>
          <w:tcPr>
            <w:tcW w:type="dxa" w:w="2592"/>
            <w:shd w:fill="F8FAFC"/>
            <w:tcMar>
              <w:top w:w="70" w:type="dxa"/>
              <w:bottom w:w="70" w:type="dxa"/>
              <w:left w:w="100" w:type="dxa"/>
              <w:right w:w="100" w:type="dxa"/>
            </w:tcMar>
            <w:vAlign w:val="center"/>
          </w:tcPr>
          <w:p>
            <w:r>
              <w:rPr>
                <w:rFonts w:ascii="Calibri" w:hAnsi="Calibri"/>
                <w:sz w:val="18"/>
              </w:rPr>
              <w:t>Access Control Isolation</w:t>
            </w:r>
          </w:p>
        </w:tc>
        <w:tc>
          <w:tcPr>
            <w:tcW w:type="dxa" w:w="3744"/>
            <w:shd w:fill="F8FAFC"/>
            <w:tcMar>
              <w:top w:w="70" w:type="dxa"/>
              <w:bottom w:w="70" w:type="dxa"/>
              <w:left w:w="100" w:type="dxa"/>
              <w:right w:w="100" w:type="dxa"/>
            </w:tcMar>
            <w:vAlign w:val="center"/>
          </w:tcPr>
          <w:p>
            <w:r>
              <w:rPr>
                <w:rFonts w:ascii="Calibri" w:hAnsi="Calibri"/>
                <w:sz w:val="18"/>
              </w:rPr>
              <w:t>Enforce strict Broken Object-Level Authorization (IDOR) prevention. Users can never query records outside their authorized tenancy.</w:t>
            </w:r>
          </w:p>
        </w:tc>
        <w:tc>
          <w:tcPr>
            <w:tcW w:type="dxa" w:w="1728"/>
            <w:shd w:fill="F8FAFC"/>
            <w:tcMar>
              <w:top w:w="70" w:type="dxa"/>
              <w:bottom w:w="70" w:type="dxa"/>
              <w:left w:w="100" w:type="dxa"/>
              <w:right w:w="100" w:type="dxa"/>
            </w:tcMar>
            <w:vAlign w:val="center"/>
          </w:tcPr>
          <w:p>
            <w:r>
              <w:rPr>
                <w:rFonts w:ascii="Calibri" w:hAnsi="Calibri"/>
                <w:sz w:val="18"/>
              </w:rPr>
              <w:t>Zero IDOR Leaks</w:t>
            </w:r>
          </w:p>
        </w:tc>
      </w:tr>
      <w:tr>
        <w:tc>
          <w:tcPr>
            <w:tcW w:type="dxa" w:w="1296"/>
            <w:tcMar>
              <w:top w:w="70" w:type="dxa"/>
              <w:bottom w:w="70" w:type="dxa"/>
              <w:left w:w="100" w:type="dxa"/>
              <w:right w:w="100" w:type="dxa"/>
            </w:tcMar>
            <w:vAlign w:val="center"/>
          </w:tcPr>
          <w:p>
            <w:r>
              <w:rPr>
                <w:rFonts w:ascii="Calibri" w:hAnsi="Calibri"/>
                <w:sz w:val="18"/>
              </w:rPr>
              <w:t>NFR-07</w:t>
            </w:r>
          </w:p>
        </w:tc>
        <w:tc>
          <w:tcPr>
            <w:tcW w:type="dxa" w:w="2592"/>
            <w:tcMar>
              <w:top w:w="70" w:type="dxa"/>
              <w:bottom w:w="70" w:type="dxa"/>
              <w:left w:w="100" w:type="dxa"/>
              <w:right w:w="100" w:type="dxa"/>
            </w:tcMar>
            <w:vAlign w:val="center"/>
          </w:tcPr>
          <w:p>
            <w:r>
              <w:rPr>
                <w:rFonts w:ascii="Calibri" w:hAnsi="Calibri"/>
                <w:sz w:val="18"/>
              </w:rPr>
              <w:t>Auditability &amp; Traceability</w:t>
            </w:r>
          </w:p>
        </w:tc>
        <w:tc>
          <w:tcPr>
            <w:tcW w:type="dxa" w:w="3744"/>
            <w:tcMar>
              <w:top w:w="70" w:type="dxa"/>
              <w:bottom w:w="70" w:type="dxa"/>
              <w:left w:w="100" w:type="dxa"/>
              <w:right w:w="100" w:type="dxa"/>
            </w:tcMar>
            <w:vAlign w:val="center"/>
          </w:tcPr>
          <w:p>
            <w:r>
              <w:rPr>
                <w:rFonts w:ascii="Calibri" w:hAnsi="Calibri"/>
                <w:sz w:val="18"/>
              </w:rPr>
              <w:t>100% of state-changing administrative and academic write operations logged to append-only audit trail table.</w:t>
            </w:r>
          </w:p>
        </w:tc>
        <w:tc>
          <w:tcPr>
            <w:tcW w:type="dxa" w:w="1728"/>
            <w:tcMar>
              <w:top w:w="70" w:type="dxa"/>
              <w:bottom w:w="70" w:type="dxa"/>
              <w:left w:w="100" w:type="dxa"/>
              <w:right w:w="100" w:type="dxa"/>
            </w:tcMar>
            <w:vAlign w:val="center"/>
          </w:tcPr>
          <w:p>
            <w:r>
              <w:rPr>
                <w:rFonts w:ascii="Calibri" w:hAnsi="Calibri"/>
                <w:sz w:val="18"/>
              </w:rPr>
              <w:t>100% Audit Coverage</w:t>
            </w:r>
          </w:p>
        </w:tc>
      </w:tr>
      <w:tr>
        <w:tc>
          <w:tcPr>
            <w:tcW w:type="dxa" w:w="1296"/>
            <w:shd w:fill="F8FAFC"/>
            <w:tcMar>
              <w:top w:w="70" w:type="dxa"/>
              <w:bottom w:w="70" w:type="dxa"/>
              <w:left w:w="100" w:type="dxa"/>
              <w:right w:w="100" w:type="dxa"/>
            </w:tcMar>
            <w:vAlign w:val="center"/>
          </w:tcPr>
          <w:p>
            <w:r>
              <w:rPr>
                <w:rFonts w:ascii="Calibri" w:hAnsi="Calibri"/>
                <w:sz w:val="18"/>
              </w:rPr>
              <w:t>NFR-08</w:t>
            </w:r>
          </w:p>
        </w:tc>
        <w:tc>
          <w:tcPr>
            <w:tcW w:type="dxa" w:w="2592"/>
            <w:shd w:fill="F8FAFC"/>
            <w:tcMar>
              <w:top w:w="70" w:type="dxa"/>
              <w:bottom w:w="70" w:type="dxa"/>
              <w:left w:w="100" w:type="dxa"/>
              <w:right w:w="100" w:type="dxa"/>
            </w:tcMar>
            <w:vAlign w:val="center"/>
          </w:tcPr>
          <w:p>
            <w:r>
              <w:rPr>
                <w:rFonts w:ascii="Calibri" w:hAnsi="Calibri"/>
                <w:sz w:val="18"/>
              </w:rPr>
              <w:t>Accessibility &amp; Usability</w:t>
            </w:r>
          </w:p>
        </w:tc>
        <w:tc>
          <w:tcPr>
            <w:tcW w:type="dxa" w:w="3744"/>
            <w:shd w:fill="F8FAFC"/>
            <w:tcMar>
              <w:top w:w="70" w:type="dxa"/>
              <w:bottom w:w="70" w:type="dxa"/>
              <w:left w:w="100" w:type="dxa"/>
              <w:right w:w="100" w:type="dxa"/>
            </w:tcMar>
            <w:vAlign w:val="center"/>
          </w:tcPr>
          <w:p>
            <w:r>
              <w:rPr>
                <w:rFonts w:ascii="Calibri" w:hAnsi="Calibri"/>
                <w:sz w:val="18"/>
              </w:rPr>
              <w:t>User interface components must satisfy W3C WCAG 2.1 Level AA accessibility criteria including high contrast and keyboard navigation.</w:t>
            </w:r>
          </w:p>
        </w:tc>
        <w:tc>
          <w:tcPr>
            <w:tcW w:type="dxa" w:w="1728"/>
            <w:shd w:fill="F8FAFC"/>
            <w:tcMar>
              <w:top w:w="70" w:type="dxa"/>
              <w:bottom w:w="70" w:type="dxa"/>
              <w:left w:w="100" w:type="dxa"/>
              <w:right w:w="100" w:type="dxa"/>
            </w:tcMar>
            <w:vAlign w:val="center"/>
          </w:tcPr>
          <w:p>
            <w:r>
              <w:rPr>
                <w:rFonts w:ascii="Calibri" w:hAnsi="Calibri"/>
                <w:sz w:val="18"/>
              </w:rPr>
              <w:t>WCAG 2.1 AA</w:t>
            </w:r>
          </w:p>
        </w:tc>
      </w:tr>
    </w:tbl>
    <w:p>
      <w:pPr>
        <w:pStyle w:val="Heading1"/>
        <w:keepNext/>
        <w:spacing w:before="240" w:after="80"/>
      </w:pPr>
      <w:r>
        <w:rPr>
          <w:b/>
          <w:color w:val="1E3A8A"/>
          <w:sz w:val="30"/>
        </w:rPr>
        <w:t>7. Security Objectives &amp; Threat Mitigations</w:t>
      </w:r>
    </w:p>
    <w:p>
      <w:r>
        <w:t>EduTrack enforces defense-in-depth principles across all architectural tiers:</w:t>
        <w:br/>
        <w:t>1. Confidentiality: Academic records and student personally identifiable information (PII) are encrypted at rest using AES-256 and in transit via TLS 1.3.</w:t>
        <w:br/>
        <w:t>2. Integrity: Grade entries require dual-factor authorization and are locked against modification once certified by department authorities.</w:t>
        <w:br/>
        <w:t>3. Non-Repudiation: Every grade entry, modification, and attendance override is permanently timestamped with actor ID and client IP address.</w:t>
        <w:br/>
        <w:t>4. Injection Immunity: All database queries utilize parameterized SQL statements through ORM abstraction, neutralizing SQL injection vulnerabilities.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