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80"/>
        <w:jc w:val="center"/>
        <w:rPr>
          <w:rFonts w:ascii="Calibri" w:cs="Calibri" w:hAnsi="Calibri"/>
          <w:sz w:val="32"/>
          <w:szCs w:val="32"/>
        </w:rPr>
      </w:pPr>
      <w:r>
        <w:rPr>
          <w:rFonts w:ascii="Calibri" w:cs="Calibri" w:hAnsi="Calibri"/>
          <w:b/>
          <w:bCs/>
          <w:color w:val="2E5496"/>
          <w:sz w:val="32"/>
          <w:szCs w:val="32"/>
        </w:rPr>
        <w:t>Project Design Phase</w:t>
      </w:r>
    </w:p>
    <w:p>
      <w:pPr>
        <w:pBdr>
          <w:bottom w:val="single" w:sz="12" w:space="8" w:color="1F3864"/>
        </w:pBdr>
        <w:spacing w:after="300"/>
        <w:jc w:val="center"/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b/>
          <w:bCs/>
          <w:color w:val="1F3864"/>
          <w:sz w:val="28"/>
          <w:szCs w:val="28"/>
        </w:rPr>
        <w:t>Problem – Solution Fit</w:t>
      </w:r>
    </w:p>
    <w:tbl>
      <w:tblPr>
        <w:jc w:val="center"/>
        <w:tblW w:w="9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7"/>
        <w:gridCol w:w="7446"/>
      </w:tblGrid>
      <w:tr>
        <w:trPr>
          <w:trHeight w:val="367"/>
        </w:trPr>
        <w:tc>
          <w:tcPr>
            <w:tcW w:w="1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sz w:val="20"/>
                <w:szCs w:val="20"/>
              </w:rPr>
              <w:t>Date</w:t>
            </w:r>
          </w:p>
        </w:tc>
        <w:tc>
          <w:tcPr>
            <w:tcW w:w="7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09 September 2026</w:t>
            </w:r>
          </w:p>
        </w:tc>
      </w:tr>
      <w:tr>
        <w:trPr>
          <w:trHeight w:val="366"/>
        </w:trPr>
        <w:tc>
          <w:tcPr>
            <w:tcW w:w="1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sz w:val="20"/>
                <w:szCs w:val="20"/>
              </w:rPr>
              <w:t>Student Name</w:t>
            </w:r>
          </w:p>
        </w:tc>
        <w:tc>
          <w:tcPr>
            <w:tcW w:w="7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 xml:space="preserve">Dwarapudi Nagasri </w:t>
            </w:r>
            <w:bookmarkStart w:id="0" w:name="_GoBack"/>
            <w:bookmarkEnd w:id="0"/>
          </w:p>
        </w:tc>
      </w:tr>
      <w:tr>
        <w:trPr>
          <w:trHeight w:val="315"/>
        </w:trPr>
        <w:tc>
          <w:tcPr>
            <w:tcW w:w="1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sz w:val="20"/>
                <w:szCs w:val="20"/>
              </w:rPr>
              <w:t>Project Name</w:t>
            </w:r>
          </w:p>
        </w:tc>
        <w:tc>
          <w:tcPr>
            <w:tcW w:w="7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Automated Network Request Management in ServiceNow</w:t>
            </w:r>
          </w:p>
        </w:tc>
      </w:tr>
      <w:tr>
        <w:trPr>
          <w:trHeight w:val="248"/>
        </w:trPr>
        <w:tc>
          <w:tcPr>
            <w:tcW w:w="1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sz w:val="20"/>
                <w:szCs w:val="20"/>
              </w:rPr>
              <w:t>Maximum Marks</w:t>
            </w:r>
          </w:p>
        </w:tc>
        <w:tc>
          <w:tcPr>
            <w:tcW w:w="7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after="160"/>
              <w:rPr>
                <w:rFonts w:ascii="Calibri" w:cs="Calibri" w:hAnsi="Calibri"/>
                <w:sz w:val="20"/>
                <w:szCs w:val="20"/>
              </w:rPr>
            </w:pPr>
          </w:p>
        </w:tc>
      </w:tr>
    </w:tbl>
    <w:p>
      <w:pPr>
        <w:pStyle w:val="2"/>
        <w:spacing w:before="240" w:after="1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b/>
          <w:bCs/>
          <w:color w:val="2E5496"/>
          <w:sz w:val="24"/>
          <w:szCs w:val="24"/>
        </w:rPr>
        <w:t>Problem–Solution Fit</w:t>
      </w:r>
    </w:p>
    <w:p>
      <w:pPr>
        <w:spacing w:before="120" w:after="60"/>
        <w:jc w:val="center"/>
        <w:rPr>
          <w:rFonts w:ascii="Calibri" w:cs="Calibri" w:hAnsi="Calibri"/>
        </w:rPr>
      </w:pPr>
      <w:r>
        <w:rPr>
          <w:rFonts w:ascii="Calibri" w:cs="Calibri" w:hAnsi="Calibri"/>
        </w:rPr>
        <w:drawing>
          <wp:inline distT="0" distB="0" distL="0" distR="0">
            <wp:extent cx="5905500" cy="296227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29622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Calibri" w:cs="Calibri" w:hAnsi="Calibri"/>
          <w:sz w:val="20"/>
          <w:szCs w:val="20"/>
        </w:rPr>
      </w:pPr>
      <w:r>
        <w:rPr>
          <w:rFonts w:ascii="Calibri" w:cs="Calibri" w:hAnsi="Calibri"/>
          <w:i/>
          <w:iCs/>
          <w:color w:val="555555"/>
          <w:sz w:val="20"/>
          <w:szCs w:val="20"/>
        </w:rPr>
        <w:t>Figure 1: Problem–solution fit canvas adapted to the Automated Network Request Management project.</w:t>
      </w:r>
    </w:p>
    <w:p>
      <w:pPr>
        <w:spacing w:after="160"/>
        <w:rPr>
          <w:rFonts w:ascii="Calibri" w:cs="Calibri" w:hAnsi="Calibri"/>
          <w:sz w:val="20"/>
          <w:szCs w:val="20"/>
        </w:rPr>
      </w:pPr>
      <w:r>
        <w:rPr>
          <w:rFonts w:ascii="Calibri" w:cs="Calibri" w:hAnsi="Calibri"/>
          <w:sz w:val="20"/>
          <w:szCs w:val="20"/>
        </w:rPr>
        <w:t>The canvas below maps the operational problem behind manual network request handling to the ServiceNow-based solution implemented for the Automated Network Request Management project.</w:t>
      </w:r>
    </w:p>
    <w:tbl>
      <w:tblPr>
        <w:jc w:val="left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86"/>
        <w:gridCol w:w="7040"/>
      </w:tblGrid>
      <w:tr>
        <w:trPr>
          <w:tblHeader/>
        </w:trPr>
        <w:tc>
          <w:tcPr>
            <w:tcW w:w="198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704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Project Fit</w:t>
            </w:r>
          </w:p>
        </w:tc>
      </w:tr>
      <w:tr>
        <w:tc>
          <w:tcPr>
            <w:tcW w:w="19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Problem</w:t>
            </w:r>
          </w:p>
        </w:tc>
        <w:tc>
          <w:tcPr>
            <w:tcW w:w="70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Network teams and end users lack a standardized way to submit, route, and track network-related service requests (new connections, access changes, device requests), resulting in delays, manual follow-ups, and inconsistent request data.</w:t>
            </w:r>
          </w:p>
        </w:tc>
      </w:tr>
      <w:tr>
        <w:tc>
          <w:tcPr>
            <w:tcW w:w="198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Solution</w:t>
            </w:r>
          </w:p>
        </w:tc>
        <w:tc>
          <w:tcPr>
            <w:tcW w:w="704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 ServiceNow Automated Network Request Management application that captures network requests through a Service Catalog item, stores them in a dedicated custom table, routes them for approval, and automates fulfilment using Flow Designer.</w:t>
            </w:r>
          </w:p>
        </w:tc>
      </w:tr>
      <w:tr>
        <w:tc>
          <w:tcPr>
            <w:tcW w:w="19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Customer Benefit</w:t>
            </w:r>
          </w:p>
        </w:tc>
        <w:tc>
          <w:tcPr>
            <w:tcW w:w="70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Requesters get a guided, self-service form with clear fields, dynamic UI logic, and real-time visibility into request status and approvals.</w:t>
            </w:r>
          </w:p>
        </w:tc>
      </w:tr>
      <w:tr>
        <w:tc>
          <w:tcPr>
            <w:tcW w:w="198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Operational Benefit</w:t>
            </w:r>
          </w:p>
        </w:tc>
        <w:tc>
          <w:tcPr>
            <w:tcW w:w="704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Network and IT teams gain a centralized, structured dataset with enforced mandatory fields, standardized approval routing, and automated notifications, reducing manual triage effort.</w:t>
            </w:r>
          </w:p>
        </w:tc>
      </w:tr>
      <w:tr>
        <w:tc>
          <w:tcPr>
            <w:tcW w:w="19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Uniqueness</w:t>
            </w:r>
          </w:p>
        </w:tc>
        <w:tc>
          <w:tcPr>
            <w:tcW w:w="70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Combines a purpose-built network request data model, a custom relationship linking approval records (sysapprovals) to the request table, conditional UI Policies for device and connection type, and end-to-end Flow Designer automation (create record, request approval, send email, update record).</w:t>
            </w:r>
          </w:p>
        </w:tc>
      </w:tr>
      <w:tr>
        <w:tc>
          <w:tcPr>
            <w:tcW w:w="198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Scalability</w:t>
            </w:r>
          </w:p>
        </w:tc>
        <w:tc>
          <w:tcPr>
            <w:tcW w:w="704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The solution can be extended with SLA-based escalation, CMDB integration for network configuration items, richer reporting/dashboards, and additional request types beyond the initial scope.</w:t>
            </w:r>
          </w:p>
        </w:tc>
      </w:tr>
    </w:tbl>
    <w:p>
      <w:pPr>
        <w:rPr>
          <w:rFonts w:ascii="Calibri" w:cs="Calibri" w:hAnsi="Calibri"/>
          <w:sz w:val="20"/>
          <w:szCs w:val="20"/>
        </w:rPr>
      </w:pPr>
    </w:p>
    <w:sectPr>
      <w:headerReference w:type="default" r:id="rId2"/>
      <w:footerReference w:type="default" r:id="rId3"/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jc w:val="center"/>
    </w:pPr>
    <w:r>
      <w:rPr>
        <w:color w:val="777777"/>
      </w:rPr>
      <w:t xml:space="preserve">Page </w:t>
    </w:r>
    <w:r>
      <w:rPr>
        <w:color w:val="777777"/>
      </w:rPr>
      <w:fldChar w:fldCharType="begin"/>
    </w:r>
    <w:r>
      <w:rPr>
        <w:color w:val="777777"/>
      </w:rPr>
      <w:instrText>PAGE</w:instrText>
    </w:r>
    <w:r>
      <w:rPr>
        <w:color w:val="777777"/>
      </w:rPr>
      <w:fldChar w:fldCharType="separate"/>
    </w:r>
    <w:r>
      <w:rPr>
        <w:color w:val="777777"/>
      </w:rPr>
      <w:t>1</w:t>
    </w:r>
    <w:r>
      <w:rPr>
        <w:color w:val="777777"/>
      </w:rPr>
      <w:fldChar w:fldCharType="end"/>
    </w:r>
  </w:p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Bdr>
        <w:bottom w:val="single" w:sz="4" w:space="4" w:color="AAAAAA"/>
      </w:pBdr>
    </w:pPr>
    <w:r>
      <w:rPr>
        <w:b/>
        <w:bCs/>
        <w:color w:val="777777"/>
      </w:rPr>
      <w:t>Automated Network Request Management in ServiceNow — Problem–Solution Fit</w:t>
    </w: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displayBackgroundShape/>
  <w:bordersDoNotSurroundHeader/>
  <w:bordersDoNotSurroundFooter/>
  <w:defaultTabStop w:val="720"/>
  <w:drawingGridHorizontalSpacing w:val="9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Arial" w:eastAsia="Arial" w:cs="Arial" w:hAnsi="Arial"/>
      <w:sz w:val="18"/>
      <w:szCs w:val="18"/>
      <w:lang w:val="en-IN" w:eastAsia="en-IN" w:bidi="ar-SA"/>
    </w:rPr>
  </w:style>
  <w:style w:type="paragraph" w:styleId="1">
    <w:name w:val="heading 1"/>
    <w:pPr>
      <w:outlineLvl w:val="0"/>
    </w:pPr>
    <w:rPr>
      <w:rFonts w:ascii="Arial" w:eastAsia="Arial" w:cs="Arial" w:hAnsi="Arial"/>
      <w:color w:val="2E74B5"/>
      <w:sz w:val="32"/>
      <w:szCs w:val="32"/>
      <w:lang w:val="en-IN" w:eastAsia="en-IN" w:bidi="ar-SA"/>
    </w:rPr>
  </w:style>
  <w:style w:type="paragraph" w:styleId="2">
    <w:name w:val="heading 2"/>
    <w:pPr>
      <w:outlineLvl w:val="1"/>
    </w:pPr>
    <w:rPr>
      <w:rFonts w:ascii="Arial" w:eastAsia="Arial" w:cs="Arial" w:hAnsi="Arial"/>
      <w:color w:val="2E74B5"/>
      <w:sz w:val="26"/>
      <w:szCs w:val="26"/>
      <w:lang w:val="en-IN" w:eastAsia="en-IN" w:bidi="ar-SA"/>
    </w:rPr>
  </w:style>
  <w:style w:type="paragraph" w:styleId="3">
    <w:name w:val="heading 3"/>
    <w:pPr>
      <w:outlineLvl w:val="2"/>
    </w:pPr>
    <w:rPr>
      <w:rFonts w:ascii="Arial" w:eastAsia="Arial" w:cs="Arial" w:hAnsi="Arial"/>
      <w:color w:val="1F4D78"/>
      <w:sz w:val="24"/>
      <w:szCs w:val="24"/>
      <w:lang w:val="en-IN" w:eastAsia="en-IN" w:bidi="ar-SA"/>
    </w:rPr>
  </w:style>
  <w:style w:type="paragraph" w:styleId="4">
    <w:name w:val="heading 4"/>
    <w:pPr>
      <w:outlineLvl w:val="3"/>
    </w:pPr>
    <w:rPr>
      <w:rFonts w:ascii="Arial" w:eastAsia="Arial" w:cs="Arial" w:hAnsi="Arial"/>
      <w:i/>
      <w:iCs/>
      <w:color w:val="2E74B5"/>
      <w:sz w:val="18"/>
      <w:szCs w:val="18"/>
      <w:lang w:val="en-IN" w:eastAsia="en-IN" w:bidi="ar-SA"/>
    </w:rPr>
  </w:style>
  <w:style w:type="paragraph" w:styleId="5">
    <w:name w:val="heading 5"/>
    <w:pPr>
      <w:outlineLvl w:val="4"/>
    </w:pPr>
    <w:rPr>
      <w:rFonts w:ascii="Arial" w:eastAsia="Arial" w:cs="Arial" w:hAnsi="Arial"/>
      <w:color w:val="2E74B5"/>
      <w:sz w:val="18"/>
      <w:szCs w:val="18"/>
      <w:lang w:val="en-IN" w:eastAsia="en-IN" w:bidi="ar-SA"/>
    </w:rPr>
  </w:style>
  <w:style w:type="paragraph" w:styleId="6">
    <w:name w:val="heading 6"/>
    <w:pPr>
      <w:outlineLvl w:val="5"/>
    </w:pPr>
    <w:rPr>
      <w:rFonts w:ascii="Arial" w:eastAsia="Arial" w:cs="Arial" w:hAnsi="Arial"/>
      <w:color w:val="1F4D78"/>
      <w:sz w:val="18"/>
      <w:szCs w:val="18"/>
      <w:lang w:val="en-IN" w:eastAsia="en-IN" w:bidi="ar-SA"/>
    </w:rPr>
  </w:style>
  <w:style w:type="character" w:default="1" w:styleId="10">
    <w:name w:val="Default Paragraph Font"/>
  </w:style>
  <w:style w:type="paragraph" w:styleId="15">
    <w:name w:val="Title"/>
    <w:rPr>
      <w:rFonts w:ascii="Arial" w:eastAsia="Arial" w:cs="Arial" w:hAnsi="Arial"/>
      <w:sz w:val="56"/>
      <w:szCs w:val="56"/>
      <w:lang w:val="en-IN" w:eastAsia="en-IN" w:bidi="ar-SA"/>
    </w:rPr>
  </w:style>
  <w:style w:type="paragraph" w:customStyle="1" w:styleId="16">
    <w:name w:val="Strong1"/>
    <w:rPr>
      <w:rFonts w:ascii="Arial" w:eastAsia="Arial" w:cs="Arial" w:hAnsi="Arial"/>
      <w:b/>
      <w:bCs/>
      <w:sz w:val="18"/>
      <w:szCs w:val="18"/>
      <w:lang w:val="en-IN" w:eastAsia="en-IN" w:bidi="ar-SA"/>
    </w:rPr>
  </w:style>
  <w:style w:type="paragraph" w:customStyle="1" w:styleId="17">
    <w:name w:val="List Paragraph"/>
    <w:rPr>
      <w:rFonts w:ascii="Arial" w:eastAsia="Arial" w:cs="Arial" w:hAnsi="Arial"/>
      <w:sz w:val="18"/>
      <w:szCs w:val="18"/>
      <w:lang w:val="en-IN" w:eastAsia="en-IN" w:bidi="ar-SA"/>
    </w:rPr>
  </w:style>
  <w:style w:type="character" w:styleId="18">
    <w:name w:val="Hyperlink"/>
    <w:rPr>
      <w:color w:val="0563C1"/>
      <w:u w:val="single"/>
    </w:rPr>
  </w:style>
  <w:style w:type="character" w:styleId="19">
    <w:name w:val="footnote reference"/>
    <w:rPr>
      <w:vertAlign w:val="superscript"/>
    </w:rPr>
  </w:style>
  <w:style w:type="paragraph" w:styleId="20">
    <w:name w:val="footnote text"/>
    <w:rPr>
      <w:rFonts w:ascii="Arial" w:eastAsia="Arial" w:cs="Arial" w:hAnsi="Arial"/>
      <w:sz w:val="20"/>
      <w:szCs w:val="20"/>
      <w:lang w:val="en-IN" w:eastAsia="en-IN" w:bidi="ar-SA"/>
    </w:rPr>
  </w:style>
  <w:style w:type="character" w:styleId="21">
    <w:name w:val="endnote reference"/>
    <w:rPr>
      <w:vertAlign w:val="superscript"/>
    </w:rPr>
  </w:style>
  <w:style w:type="paragraph" w:styleId="22">
    <w:name w:val="endnote text"/>
    <w:rPr>
      <w:rFonts w:ascii="Arial" w:eastAsia="Arial" w:cs="Arial" w:hAnsi="Arial"/>
      <w:sz w:val="20"/>
      <w:szCs w:val="20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2.pn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247</Words>
  <Characters>1615</Characters>
  <Lines>43</Lines>
  <Paragraphs>26</Paragraphs>
  <CharactersWithSpaces>1836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Un-named</dc:creator>
  <cp:lastModifiedBy>vivo user</cp:lastModifiedBy>
  <cp:revision>2</cp:revision>
  <dcterms:created xsi:type="dcterms:W3CDTF">2026-09-10T05:35:00Z</dcterms:created>
  <dcterms:modified xsi:type="dcterms:W3CDTF">2026-09-19T10:40:33Z</dcterms:modified>
</cp:coreProperties>
</file>