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Automated Network Request Management in ServiceNow</w:t>
      </w:r>
    </w:p>
    <w:p>
      <w:pPr>
        <w:spacing w:after="300"/>
        <w:jc w:val="center"/>
      </w:pPr>
      <w:r>
        <w:rPr>
          <w:b/>
          <w:bCs/>
          <w:color w:val="222222"/>
          <w:sz w:val="26"/>
          <w:szCs w:val="26"/>
        </w:rPr>
        <w:t>Functional &amp; Performance Testing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>08 September 2026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>Student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 xml:space="preserve">Dwarapudi Nagasri </w:t>
            </w:r>
            <w:bookmarkStart w:id="0" w:name="_GoBack"/>
            <w:bookmarkEnd w:id="0"/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>Automated Network Request Management in ServiceNow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/>
        </w:tc>
      </w:tr>
    </w:tbl>
    <w:p>
      <w:pPr>
        <w:spacing w:before="320" w:after="140"/>
      </w:pPr>
      <w:r>
        <w:rPr>
          <w:b/>
          <w:bCs/>
          <w:color w:val="1F3864"/>
          <w:sz w:val="24"/>
          <w:szCs w:val="24"/>
        </w:rPr>
        <w:t>Test Scenarios &amp; Results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900"/>
        <w:gridCol w:w="4160"/>
        <w:gridCol w:w="1400"/>
      </w:tblGrid>
      <w:tr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FFFFFF"/>
              </w:rPr>
              <w:t>Status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Service Portal is accessible and the Network Request catalog item can be reached.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Open Network Request catalog item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Network Request form loads with the configured variables.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Requested For, Mobile Number, Type of Connection, Existing ID, Total Amount, Mode of Payment, Address, and the Opened on Behalf Of variable set are available as configured.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Existing ID field is displayed when the connection type is Existing.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Flow Designer is triggered and a Network Database record is created with the configured request details.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Ask for Approval creates/displays the approval request related to the Network Database record.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Send Email step communicates request progress to the relevant configured recipients.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Approval Status is maintained on the Network Database record so the current request status can be tracked.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Configured ACLs restrict read/write access to the Network Database table according to the configured access controls.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Mandatory fields, dynamic behavior, record creation, approval, notification, status update, and data accuracy can be validated through the request lifecycle.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>
      <w:pPr>
        <w:spacing w:before="380" w:after="60"/>
        <w:jc w:val="center"/>
      </w:pPr>
      <w:r>
        <w:rPr>
          <w:b/>
          <w:bCs/>
          <w:color w:val="1F3864"/>
          <w:sz w:val="24"/>
          <w:szCs w:val="24"/>
        </w:rPr>
        <w:t>Functional &amp; Performance Testing Results</w:t>
      </w:r>
    </w:p>
    <w:p>
      <w:pPr>
        <w:spacing w:after="200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6560"/>
        <w:gridCol w:w="1700"/>
      </w:tblGrid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Open Network Request catalog item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</w:tbl>
    <w:p>
      <w:pPr>
        <w:spacing w:before="260" w:after="40"/>
        <w:jc w:val="center"/>
      </w:pPr>
      <w:r>
        <w:rPr>
          <w:b/>
          <w:bCs/>
          <w:color w:val="222222"/>
          <w:sz w:val="22"/>
          <w:szCs w:val="22"/>
        </w:rPr>
        <w:t>10 / 10 functional scenarios passed</w:t>
      </w:r>
    </w:p>
    <w:p>
      <w:pPr>
        <w:spacing w:after="220"/>
        <w:jc w:val="center"/>
      </w:pPr>
      <w:r>
        <w:rPr>
          <w:color w:val="777777"/>
          <w:sz w:val="18"/>
          <w:szCs w:val="18"/>
        </w:rPr>
        <w:t>Formal concurrent-user load benchmarking was not supplied.</w:t>
      </w:r>
    </w:p>
    <w:p>
      <w:pPr>
        <w:spacing w:after="320"/>
        <w:jc w:val="center"/>
      </w:pPr>
      <w:r>
        <w:rPr>
          <w:color w:val="555555"/>
          <w:sz w:val="18"/>
          <w:szCs w:val="18"/>
        </w:rPr>
        <w:t>Figure 1: Functional test result representation.</w:t>
      </w:r>
    </w:p>
    <w:p>
      <w:pPr>
        <w:spacing w:before="160" w:after="100"/>
      </w:pPr>
      <w:r>
        <w:rPr>
          <w:b/>
          <w:bCs/>
          <w:color w:val="1F3864"/>
          <w:sz w:val="24"/>
          <w:szCs w:val="24"/>
        </w:rPr>
        <w:t>Performance Testing Note</w:t>
      </w:r>
    </w:p>
    <w:p>
      <w:pPr>
        <w:spacing w:after="240"/>
      </w:pPr>
      <w:r>
        <w:rPr>
          <w:color w:val="222222"/>
          <w:sz w:val="21"/>
          <w:szCs w:val="21"/>
        </w:rPr>
        <w:t>Functional interactive testing is covered by the scenarios above. The project requirements do not specify formal response-time, concurrent-user, throughput, or load-test benchmarks; therefore, no numerical performance result is claimed in this document.</w:t>
      </w:r>
    </w:p>
    <w:p>
      <w:pPr>
        <w:spacing w:before="160" w:after="100"/>
      </w:pPr>
      <w:r>
        <w:rPr>
          <w:b/>
          <w:bCs/>
          <w:color w:val="1F3864"/>
          <w:sz w:val="24"/>
          <w:szCs w:val="24"/>
        </w:rPr>
        <w:t>Testing Conclusion</w:t>
      </w:r>
    </w:p>
    <w:p>
      <w:r>
        <w:rPr>
          <w:color w:val="222222"/>
          <w:sz w:val="21"/>
          <w:szCs w:val="21"/>
        </w:rPr>
        <w:t>The functional test plan covers the documented Network Request submission, dynamic form behavior, Network Database record creation, approval routing, email notification, status tracking, access control, and end-to-end validation. Actual execution results should be recorded after testing in the ServiceNow instance.</w:t>
      </w: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lang w:val="en-IN" w:eastAsia="en-IN" w:bidi="ar-SA"/>
    </w:rPr>
  </w:style>
  <w:style w:type="paragraph" w:styleId="1">
    <w:name w:val="heading 1"/>
    <w:pPr>
      <w:outlineLvl w:val="0"/>
    </w:pPr>
    <w:rPr>
      <w:rFonts w:ascii="Times New Roman" w:eastAsia="Times New Roman" w:cs="Times New Roman" w:hAnsi="Times New Roman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Times New Roman" w:eastAsia="Times New Roman" w:cs="Times New Roman" w:hAnsi="Times New Roman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Times New Roman" w:eastAsia="Times New Roman" w:cs="Times New Roman" w:hAnsi="Times New Roman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Times New Roman" w:eastAsia="Times New Roman" w:cs="Times New Roman" w:hAnsi="Times New Roman"/>
      <w:i/>
      <w:iCs/>
      <w:color w:val="2E74B5"/>
      <w:lang w:val="en-IN" w:eastAsia="en-IN" w:bidi="ar-SA"/>
    </w:rPr>
  </w:style>
  <w:style w:type="paragraph" w:styleId="5">
    <w:name w:val="heading 5"/>
    <w:pPr>
      <w:outlineLvl w:val="4"/>
    </w:pPr>
    <w:rPr>
      <w:rFonts w:ascii="Times New Roman" w:eastAsia="Times New Roman" w:cs="Times New Roman" w:hAnsi="Times New Roman"/>
      <w:color w:val="2E74B5"/>
      <w:lang w:val="en-IN" w:eastAsia="en-IN" w:bidi="ar-SA"/>
    </w:rPr>
  </w:style>
  <w:style w:type="paragraph" w:styleId="6">
    <w:name w:val="heading 6"/>
    <w:pPr>
      <w:outlineLvl w:val="5"/>
    </w:pPr>
    <w:rPr>
      <w:rFonts w:ascii="Times New Roman" w:eastAsia="Times New Roman" w:cs="Times New Roman" w:hAnsi="Times New Roman"/>
      <w:color w:val="1F4D7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Times New Roman" w:cs="Times New Roman" w:hAnsi="Times New Roman"/>
      <w:sz w:val="56"/>
      <w:szCs w:val="56"/>
      <w:lang w:val="en-IN" w:eastAsia="en-IN" w:bidi="ar-SA"/>
    </w:rPr>
  </w:style>
  <w:style w:type="paragraph" w:customStyle="1" w:styleId="16">
    <w:name w:val="Strong1"/>
    <w:rPr>
      <w:rFonts w:ascii="Times New Roman" w:eastAsia="Times New Roman" w:cs="Times New Roman" w:hAnsi="Times New Roman"/>
      <w:b/>
      <w:bCs/>
      <w:lang w:val="en-IN" w:eastAsia="en-IN" w:bidi="ar-SA"/>
    </w:rPr>
  </w:style>
  <w:style w:type="paragraph" w:customStyle="1" w:styleId="17">
    <w:name w:val="List Paragraph"/>
    <w:rPr>
      <w:rFonts w:ascii="Times New Roman" w:eastAsia="Times New Roman" w:cs="Times New Roman" w:hAnsi="Times New Roman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Times New Roman" w:eastAsia="Times New Roman" w:cs="Times New Roman" w:hAnsi="Times New Roman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Times New Roman" w:eastAsia="Times New Roman" w:cs="Times New Roman" w:hAnsi="Times New Roman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399</Words>
  <Characters>2475</Characters>
  <Lines>123</Lines>
  <Paragraphs>92</Paragraphs>
  <CharactersWithSpaces>2783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2026-09-09T14:28:00Z</dcterms:created>
  <dcterms:modified xsi:type="dcterms:W3CDTF">2026-09-19T10:43:07Z</dcterms:modified>
</cp:coreProperties>
</file>