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wentieth Century" w:cs="Twentieth Century" w:eastAsia="Twentieth Century" w:hAnsi="Twentieth Century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48"/>
          <w:szCs w:val="48"/>
          <w:u w:val="single"/>
        </w:rPr>
        <w:drawing>
          <wp:inline distB="114300" distT="114300" distL="114300" distR="114300">
            <wp:extent cx="6492240" cy="491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48"/>
          <w:szCs w:val="48"/>
          <w:u w:val="single"/>
          <w:rtl w:val="0"/>
        </w:rPr>
        <w:t xml:space="preserve">SmartRemit AI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 </w:t>
      </w:r>
      <w:r w:rsidDel="00000000" w:rsidR="00000000" w:rsidRPr="00000000">
        <w:rPr>
          <w:rFonts w:ascii="Twentieth Century" w:cs="Twentieth Century" w:eastAsia="Twentieth Century" w:hAnsi="Twentieth Century"/>
          <w:b w:val="1"/>
          <w:bCs w:val="1"/>
          <w:sz w:val="48"/>
          <w:szCs w:val="48"/>
          <w:u w:val="single"/>
          <w:rtl w:val="0"/>
        </w:rPr>
        <w:t xml:space="preserve">Repository Index</w:t>
      </w:r>
    </w:p>
    <w:tbl>
      <w:tblPr>
        <w:tblStyle w:val="Table1"/>
        <w:tblW w:w="11060.0" w:type="dxa"/>
        <w:jc w:val="left"/>
        <w:tblInd w:w="-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6"/>
        <w:gridCol w:w="3115"/>
        <w:gridCol w:w="5609"/>
        <w:tblGridChange w:id="0">
          <w:tblGrid>
            <w:gridCol w:w="2336"/>
            <w:gridCol w:w="3115"/>
            <w:gridCol w:w="5609"/>
          </w:tblGrid>
        </w:tblGridChange>
      </w:tblGrid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Repository 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 Contents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 Product Requirements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Requirements Document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Defines the product scope, main modules, and functional requirements.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 Process Flows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 Flows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Shows step-by-step user and system journeys.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 Technical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Technical Architecture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Explains the system components and partner API flow in simple terms.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 Test Plans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Lists the scenarios that must be tested before release.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 Partner Onboarding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Partner Onboarding Playbook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Tracks partner categories, checks, and onboarding requirements.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 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Operations Runbook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Defines basic support, monitoring, and exception handling steps.</w:t>
            </w:r>
          </w:p>
        </w:tc>
      </w:tr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 Master Tracker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Master Tracker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Spreadsheet to track features, tests, partners, open questions, and decisions.</w:t>
            </w:r>
          </w:p>
        </w:tc>
      </w:tr>
    </w:tbl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wentieth Centur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9HDjU8SLNX9lsxCeZkhpryPrQg==">CgMxLjA4AHIhMUJrODM2MEY3RXJZVnlwbmg0dThMY3F0VFJYLWZtTjBV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