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</w:rPr>
        <w:drawing>
          <wp:inline distB="114300" distT="114300" distL="114300" distR="114300">
            <wp:extent cx="6583680" cy="499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SmartRemit - Partner Analyst Role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8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1. Role Summary</w:t>
      </w:r>
      <w:r w:rsidDel="00000000" w:rsidR="00000000" w:rsidRPr="00000000">
        <w:rPr>
          <w:rtl w:val="0"/>
        </w:rPr>
      </w:r>
    </w:p>
    <w:tbl>
      <w:tblPr>
        <w:tblStyle w:val="Table1"/>
        <w:tblW w:w="1089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3007"/>
        <w:gridCol w:w="7888"/>
        <w:tblGridChange w:id="0">
          <w:tblGrid>
            <w:gridCol w:w="3007"/>
            <w:gridCol w:w="7888"/>
          </w:tblGrid>
        </w:tblGridChange>
      </w:tblGrid>
      <w:tr>
        <w:trPr>
          <w:cantSplit w:val="1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Partner Coordination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Work with banks, remittance companies, payout partners, FX partners, and API providers.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Transaction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Ensure transactions are processed correctly across partner systems and internal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API / Technical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Identify partner API errors, raise issues, and coordinate with the technical team until resolved.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Partner 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Collect required partner details, documents, API information, and corridor information for activation.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Compliance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Ensure required KYC, AML, license, and corridor compliance details are collected and tracked.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" w:hRule="atLeast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Commercial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Support partner revenue calculation, fee tracking, settlement review, and invoice preparation.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2. Regular Activities</w:t>
      </w:r>
      <w:r w:rsidDel="00000000" w:rsidR="00000000" w:rsidRPr="00000000">
        <w:rPr>
          <w:rtl w:val="0"/>
        </w:rPr>
      </w:r>
    </w:p>
    <w:tbl>
      <w:tblPr>
        <w:tblStyle w:val="Table2"/>
        <w:tblW w:w="108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549"/>
        <w:gridCol w:w="5888"/>
        <w:gridCol w:w="2373"/>
        <w:tblGridChange w:id="0">
          <w:tblGrid>
            <w:gridCol w:w="2549"/>
            <w:gridCol w:w="5888"/>
            <w:gridCol w:w="2373"/>
          </w:tblGrid>
        </w:tblGridChange>
      </w:tblGrid>
      <w:tr>
        <w:trPr>
          <w:cantSplit w:val="1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What 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Deal with partners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Coordinate with partner teams for onboarding, transaction issues, API access, and support matters.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Partner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Monitor 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Check whether partner-side transactions are processed, pending, failed, or delayed.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Transaction status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Address API / tech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Track API failures, missing callbacks, timeout cases, and incorrect status updates.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Issue log and escalation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Onboard new partners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Collect documents, contacts, API details, bank details, fees, SLA, and support process.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Completed partner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Open new corridors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Confirm sending country, receiving country, currency, payout method, limits, fees, and delivery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Corridor readiness sheet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Ensure compliance and KYC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Confirm partner license, KYC process, AML checks, sanctions screening, and required approvals.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Compliance checklist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Resolve partner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Coordinate between partner, support, operations, and technical teams until the issue is closed.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Resolved issue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Revenue and invoicing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Calculate partner fees, revenue share, payout charges, FX margin, and prepare invoice inputs.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Invoice support 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3. Partner / Corridor Onboarding Checklist</w:t>
      </w:r>
      <w:r w:rsidDel="00000000" w:rsidR="00000000" w:rsidRPr="00000000">
        <w:rPr>
          <w:rtl w:val="0"/>
        </w:rPr>
      </w:r>
    </w:p>
    <w:tbl>
      <w:tblPr>
        <w:tblStyle w:val="Table3"/>
        <w:tblW w:w="109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900"/>
        <w:gridCol w:w="6130"/>
        <w:gridCol w:w="1870"/>
        <w:tblGridChange w:id="0">
          <w:tblGrid>
            <w:gridCol w:w="2900"/>
            <w:gridCol w:w="6130"/>
            <w:gridCol w:w="1870"/>
          </w:tblGrid>
        </w:tblGridChange>
      </w:tblGrid>
      <w:tr>
        <w:trPr>
          <w:cantSplit w:val="1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Checklist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Details to Confirm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Partner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Partner name, base region, registered address, website, and business contact.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Pending /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Corridor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Supported routes such as US to India, UAE to India, UK to India, and others in scope.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Pending /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Currency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Sending currency, receiving currency, FX method, and supported payout currency.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Pending /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Collection account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Partner collection bank account details, settlement account details, and reference format.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Pending /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Payout 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UPI, IMPS, bank deposit, cash pickup, wallet, or other delivery methods.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Pending /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API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Sandbox access, production access, API documentation, webhook details, and unique reference IDs.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Pending /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Legal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Agreement, license details, AML policy, KYC process, data protection terms, and compliance approvals.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Pending /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Commercial 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Fees, revenue share, FX margin, settlement cycle, invoice cycle, and payment terms.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Pending /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Support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Partner support contacts, escalation contacts, SLA, ticket process, and local support details.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Pending /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Go-live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Testing completed, checklist signed off, support ready, and partner activated.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Pending / Done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4. Transaction and Issue Monitoring</w:t>
      </w:r>
      <w:r w:rsidDel="00000000" w:rsidR="00000000" w:rsidRPr="00000000">
        <w:rPr>
          <w:rtl w:val="0"/>
        </w:rPr>
      </w:r>
    </w:p>
    <w:tbl>
      <w:tblPr>
        <w:tblStyle w:val="Table4"/>
        <w:tblW w:w="1073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3003"/>
        <w:gridCol w:w="5328"/>
        <w:gridCol w:w="2407"/>
        <w:tblGridChange w:id="0">
          <w:tblGrid>
            <w:gridCol w:w="3003"/>
            <w:gridCol w:w="5328"/>
            <w:gridCol w:w="2407"/>
          </w:tblGrid>
        </w:tblGridChange>
      </w:tblGrid>
      <w:tr>
        <w:trPr>
          <w:cantSplit w:val="1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Check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What to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Action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Transaction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Verify if the transaction is initiated, processing, completed, failed, or on hold.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Update tracker and escalate delays.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Partner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Confirm partner API response, webhook callback, and reference number.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Follow up if missing or incorrect.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Payout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Check final payout to beneficiary through UPI, IMPS, or bank deposit.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Confirm completion or raise issue.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Failed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Identify reason for failure such as API error, beneficiary issue, low balance, or compliance hold.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Route to the correct team.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Match internal transaction ID with partner reference, payout ID, UTR, and settlement details.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Mark as matched or pending.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80" w:before="80" w:lineRule="auto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80" w:lineRule="auto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80" w:lineRule="auto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before="80" w:lineRule="auto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80" w:lineRule="auto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before="80" w:lineRule="auto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80" w:lineRule="auto"/>
        <w:ind w:left="0" w:firstLine="0"/>
        <w:jc w:val="left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80" w:lineRule="auto"/>
        <w:ind w:left="0" w:firstLine="0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5. Revenue and Invoicing Activities</w:t>
      </w:r>
      <w:r w:rsidDel="00000000" w:rsidR="00000000" w:rsidRPr="00000000">
        <w:rPr>
          <w:rtl w:val="0"/>
        </w:rPr>
      </w:r>
    </w:p>
    <w:tbl>
      <w:tblPr>
        <w:tblStyle w:val="Table5"/>
        <w:tblW w:w="10886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3115"/>
        <w:gridCol w:w="7771"/>
        <w:tblGridChange w:id="0">
          <w:tblGrid>
            <w:gridCol w:w="3115"/>
            <w:gridCol w:w="7771"/>
          </w:tblGrid>
        </w:tblGridChange>
      </w:tblGrid>
      <w:tr>
        <w:trPr>
          <w:cantSplit w:val="1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What to Track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0" w:hRule="atLeast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Transaction 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Number and value of transactions processed by each partner and corridor.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1" w:hRule="atLeast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Partner fees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Payout fee, API fee, fixed fee, or transaction fee charged by the partner.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1" w:hRule="atLeast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FX margin / spread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Difference between partner FX rate and customer-facing rate, if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1" w:hRule="atLeast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Revenue share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Agreed share between SmartRemit and the partner, if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Invoice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Partner name, period, transaction count, transaction value, fees, taxes, and payable amount.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Invoice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Drafted, sent, approved, paid, or pending clarification.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Lines w:val="1"/>
        <w:spacing w:line="240" w:lineRule="auto"/>
        <w:ind w:left="720" w:firstLine="0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6. Reports to Prepare</w:t>
      </w:r>
      <w:r w:rsidDel="00000000" w:rsidR="00000000" w:rsidRPr="00000000">
        <w:rPr>
          <w:rtl w:val="0"/>
        </w:rPr>
      </w:r>
    </w:p>
    <w:tbl>
      <w:tblPr>
        <w:tblStyle w:val="Table6"/>
        <w:tblW w:w="109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3365"/>
        <w:gridCol w:w="5892"/>
        <w:gridCol w:w="1683"/>
        <w:tblGridChange w:id="0">
          <w:tblGrid>
            <w:gridCol w:w="3365"/>
            <w:gridCol w:w="5892"/>
            <w:gridCol w:w="1683"/>
          </w:tblGrid>
        </w:tblGridChange>
      </w:tblGrid>
      <w:tr>
        <w:trPr>
          <w:cantSplit w:val="1"/>
          <w:trHeight w:val="534.7998046875" w:hRule="atLeast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Partner Transaction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Shows partner-wise transaction volume, status, failures, and pending items.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Daily / Weekly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API Issue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Tracks API errors, timeouts, missing callbacks, and resolution status.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Weekly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13" w:hRule="atLeast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Partner Onboarding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Shows new partner or new corridor onboarding progress.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Weekly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28" w:hRule="atLeast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Compliance / KYC Exception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Lists cases requiring compliance review or partner confirmation.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Weekly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Revenue and Invoice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Summarizes fees, revenue share, settlement amounts, and invoice status.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936" w:right="936" w:header="144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72RoTFHIOAb0c7jfer18Y2u+Xg==">CgMxLjA4AHIhMWRNOXliZVo3U2E0R3d6a2FzSFZWTXRCRjB5QXdpTFN6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