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Partner Onboarding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Partner Categories</w:t>
      </w: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1"/>
        <w:gridCol w:w="4954"/>
        <w:gridCol w:w="3560"/>
        <w:tblGridChange w:id="0">
          <w:tblGrid>
            <w:gridCol w:w="2631"/>
            <w:gridCol w:w="4954"/>
            <w:gridCol w:w="3560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Is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 to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Sponsor Bank / MSB Partner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Required to legally hold, move, or process USD depending on the operating model.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Evolve Bank &amp; Trust, Cross River, other licensed providers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KYC / AML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Verifies user identity and screens users against watchlists.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Persona, Onfido, Jumio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Bank Linking / Funding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Links US bank accounts and checks account holder details or balance.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Plaid, Finicity, MX</w:t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FX / Cross-Border Rails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Provides FX rates, currency conversion, and cross-border transfer capability.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Wise Platform, Nium, Ripple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India Payout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Pays INR to recipients through UPI, IMPS, or bank transfer.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RazorpayX, Cashfree, banks or payout aggregators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WhatsApp Messaging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Connect the product backend with WhatsApp messages.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Meta Cloud API, Twilio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Voice / AI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Supports speech-to-text and conversational parsing in later phases.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OpenAI Whisper, LLM provider, ElevenLabs if voice reply is required</w:t>
            </w:r>
          </w:p>
        </w:tc>
      </w:tr>
    </w:tbl>
    <w:p w:rsidR="00000000" w:rsidDel="00000000" w:rsidP="00000000" w:rsidRDefault="00000000" w:rsidRPr="00000000" w14:paraId="0000001E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Partner Evaluation Checklist</w:t>
      </w:r>
      <w:r w:rsidDel="00000000" w:rsidR="00000000" w:rsidRPr="00000000">
        <w:rPr>
          <w:rtl w:val="0"/>
        </w:rPr>
      </w:r>
    </w:p>
    <w:tbl>
      <w:tblPr>
        <w:tblStyle w:val="Table2"/>
        <w:tblW w:w="11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8153"/>
        <w:tblGridChange w:id="0">
          <w:tblGrid>
            <w:gridCol w:w="3135"/>
            <w:gridCol w:w="8153"/>
          </w:tblGrid>
        </w:tblGridChange>
      </w:tblGrid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to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Regulatory Fit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Are they licensed or suitable for the role they will perform?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Country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 they support the required sending and receiving countries?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India Payout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 they support UPI, IMPS, or bank account payout in India?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 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 they provide clear API documentation and sandbox access?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Settlement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 they support instant or near-instant payout?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What are the setup, transaction, FX, and support costs?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Compliance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 they support KYC, AML, reporting, and audit needs?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Support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 they provide partner support, SLA, and escalation contacts?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Contract 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What documents are needed for onboarding?</w:t>
            </w:r>
          </w:p>
        </w:tc>
      </w:tr>
    </w:tbl>
    <w:p w:rsidR="00000000" w:rsidDel="00000000" w:rsidP="00000000" w:rsidRDefault="00000000" w:rsidRPr="00000000" w14:paraId="00000035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Partner Onboarding Steps</w:t>
      </w:r>
      <w:r w:rsidDel="00000000" w:rsidR="00000000" w:rsidRPr="00000000">
        <w:rPr>
          <w:rtl w:val="0"/>
        </w:rPr>
      </w:r>
    </w:p>
    <w:tbl>
      <w:tblPr>
        <w:tblStyle w:val="Table3"/>
        <w:tblW w:w="11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"/>
        <w:gridCol w:w="10151"/>
        <w:tblGridChange w:id="0">
          <w:tblGrid>
            <w:gridCol w:w="921"/>
            <w:gridCol w:w="10151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Create a shortlist for each partner category.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Collect website, API documentation, sales contact, and supported countries.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Check whether the partner supports the first corridor: US to India.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Request sandbox access or demo credentials.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Confirm pricing, licensing assumptions, and compliance requirements.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Share partner findings with product and technical teams for review.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Move selected partners into integration planning.</w:t>
            </w:r>
          </w:p>
        </w:tc>
      </w:tr>
    </w:tbl>
    <w:p w:rsidR="00000000" w:rsidDel="00000000" w:rsidP="00000000" w:rsidRDefault="00000000" w:rsidRPr="00000000" w14:paraId="00000049">
      <w:pPr>
        <w:spacing w:after="8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Questions to Ask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Do you support US to India remittance or payout workflows?</w:t>
      </w:r>
    </w:p>
    <w:p w:rsidR="00000000" w:rsidDel="00000000" w:rsidP="00000000" w:rsidRDefault="00000000" w:rsidRPr="00000000" w14:paraId="0000004C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Do you support UPI and IMPS payout in India?</w:t>
      </w:r>
    </w:p>
    <w:p w:rsidR="00000000" w:rsidDel="00000000" w:rsidP="00000000" w:rsidRDefault="00000000" w:rsidRPr="00000000" w14:paraId="0000004D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Do you provide sandbox access for testing?</w:t>
      </w:r>
    </w:p>
    <w:p w:rsidR="00000000" w:rsidDel="00000000" w:rsidP="00000000" w:rsidRDefault="00000000" w:rsidRPr="00000000" w14:paraId="0000004E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What documents are required to onboard a startup or pilot customer?</w:t>
      </w:r>
    </w:p>
    <w:p w:rsidR="00000000" w:rsidDel="00000000" w:rsidP="00000000" w:rsidRDefault="00000000" w:rsidRPr="00000000" w14:paraId="0000004F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What are your standard fees, FX margins, and settlement timelines?</w:t>
      </w:r>
    </w:p>
    <w:p w:rsidR="00000000" w:rsidDel="00000000" w:rsidP="00000000" w:rsidRDefault="00000000" w:rsidRPr="00000000" w14:paraId="00000050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What compliance responsibilities remain with us and what do you handle?</w:t>
      </w:r>
    </w:p>
    <w:p w:rsidR="00000000" w:rsidDel="00000000" w:rsidP="00000000" w:rsidRDefault="00000000" w:rsidRPr="00000000" w14:paraId="00000051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• Do you provide webhook notifications for transaction status updates?</w:t>
      </w:r>
    </w:p>
    <w:p w:rsidR="00000000" w:rsidDel="00000000" w:rsidP="00000000" w:rsidRDefault="00000000" w:rsidRPr="00000000" w14:paraId="00000052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259" w:hanging="173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Launch Corridors</w:t>
      </w:r>
    </w:p>
    <w:p w:rsidR="00000000" w:rsidDel="00000000" w:rsidP="00000000" w:rsidRDefault="00000000" w:rsidRPr="00000000" w14:paraId="00000057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822.0000000000002" w:tblpY="0"/>
        <w:tblW w:w="8400.0" w:type="dxa"/>
        <w:jc w:val="left"/>
        <w:tblInd w:w="-100.0" w:type="dxa"/>
        <w:tblLayout w:type="fixed"/>
        <w:tblLook w:val="0400"/>
      </w:tblPr>
      <w:tblGrid>
        <w:gridCol w:w="2250"/>
        <w:gridCol w:w="2415"/>
        <w:gridCol w:w="3735"/>
        <w:tblGridChange w:id="0">
          <w:tblGrid>
            <w:gridCol w:w="2250"/>
            <w:gridCol w:w="2415"/>
            <w:gridCol w:w="37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Remittance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United States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USD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US to India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United Kingdom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GBP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UK to India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United Arab Emirates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AED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UAE to India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AUD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Australia to India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Singapore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SGD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Singapore to India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CAD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Canada to India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New Zealand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NZD to INR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ind w:left="259" w:hanging="173"/>
              <w:rPr/>
            </w:pPr>
            <w:r w:rsidDel="00000000" w:rsidR="00000000" w:rsidRPr="00000000">
              <w:rPr>
                <w:rtl w:val="0"/>
              </w:rPr>
              <w:t xml:space="preserve">New Zealand to India</w:t>
            </w:r>
          </w:p>
        </w:tc>
      </w:tr>
    </w:tbl>
    <w:p w:rsidR="00000000" w:rsidDel="00000000" w:rsidP="00000000" w:rsidRDefault="00000000" w:rsidRPr="00000000" w14:paraId="00000070">
      <w:pPr>
        <w:spacing w:after="40" w:lineRule="auto"/>
        <w:ind w:left="259" w:hanging="17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ind w:left="259" w:hanging="17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Partner Directory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24"/>
        <w:tblW w:w="10720.0" w:type="dxa"/>
        <w:jc w:val="left"/>
        <w:tblInd w:w="-100.0" w:type="dxa"/>
        <w:tblLayout w:type="fixed"/>
        <w:tblLook w:val="0400"/>
      </w:tblPr>
      <w:tblGrid>
        <w:gridCol w:w="1371"/>
        <w:gridCol w:w="1838"/>
        <w:gridCol w:w="6297"/>
        <w:gridCol w:w="1214"/>
        <w:tblGridChange w:id="0">
          <w:tblGrid>
            <w:gridCol w:w="1371"/>
            <w:gridCol w:w="1838"/>
            <w:gridCol w:w="6297"/>
            <w:gridCol w:w="121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ind w:left="259" w:hanging="17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ind w:left="259" w:hanging="17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ind w:left="259" w:hanging="17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 / Office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ind w:left="259" w:hanging="17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</w:t>
            </w:r>
          </w:p>
          <w:p w:rsidR="00000000" w:rsidDel="00000000" w:rsidP="00000000" w:rsidRDefault="00000000" w:rsidRPr="00000000" w14:paraId="00000080">
            <w:pPr>
              <w:spacing w:after="40" w:lineRule="auto"/>
              <w:ind w:left="259" w:hanging="173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Remitly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1111 3rd Ave., 21st Floor, Seattle, WA 98101, 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Paysend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1st floor, 20 Garrick St, London WC2E 9BT, United Kingdom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 Ansari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 7, Al Ansari Business Center, Al Barsha 1, P.O.Box 6176, Dubai, UAE.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Australia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Level 19, 60 Margaret Street, Sydney, NSW 2000, Australia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 Temperance Street, Suite 801, Toronto, Ontario, M5H 3V5, Canada.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Zealand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WorldRemit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 Shortland Street, Auckland CBD, Auckland 1010, New Zealand.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PayPal Global Headquarters</w:t>
              <w:br w:type="textWrapping"/>
              <w:t xml:space="preserve"> 2211 North First Street</w:t>
              <w:br w:type="textWrapping"/>
              <w:t xml:space="preserve"> San Jose, California 95131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Ria Money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7000 Village Dr, Suite 200, Buena Park, CA 90621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Worship Square, Shoreditch, London, United Kingdom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Western Union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7001 E. Belleview</w:t>
              <w:br w:type="textWrapping"/>
              <w:t xml:space="preserve"> Denver, CO 80237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MoneyGram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2828 N. Harwood St., 15th Floor, Dallas, TX 75201,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Sendwave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167-169 Great Portland Street, 5th Floor, London, W1W 5PF, United Kingdom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Singapore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Instarem / Nium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ind w:left="85.99999999999997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168 Robinson Road, #18-03, Capital Tower, Singapore 068912 [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Singapore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 Cecil St, By Appointment Only, Singapore 069538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New Zealand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OrbitRemit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Floor 1, 182 Vivian Street</w:t>
              <w:br w:type="textWrapping"/>
              <w:t xml:space="preserve"> Te Aro, Wellington, 6011</w:t>
              <w:br w:type="textWrapping"/>
              <w:t xml:space="preserve"> New Zealand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LuLu Exchange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Community - Level 9, Bays Water Tower - Burj Khalifa St - Business Bay - Dubai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RemitBee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 Dundas St E, Mississauga, ON L5A 1W7, Canada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Rule="auto"/>
              <w:ind w:left="259" w:hanging="17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5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6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ind w:left="259" w:hanging="173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ind w:left="259" w:hanging="173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ind w:left="259" w:hanging="173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XV7n2Rz7B5qoYPh6qO4ndNPow==">CgMxLjA4AHIhMTBGSkctRWF5MS16ZENJTzdhUlIxZHc0RzJVYm5ZRzlj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