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</w:rPr>
        <w:drawing>
          <wp:inline distB="114300" distT="114300" distL="114300" distR="114300">
            <wp:extent cx="6492240" cy="491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SmartRemit AI Technical Architecture</w:t>
      </w:r>
    </w:p>
    <w:p w:rsidR="00000000" w:rsidDel="00000000" w:rsidP="00000000" w:rsidRDefault="00000000" w:rsidRPr="00000000" w14:paraId="00000002">
      <w:pPr>
        <w:spacing w:after="80" w:before="200" w:lineRule="auto"/>
        <w:jc w:val="center"/>
        <w:rPr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1. Architecture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AI SmartPay acts as an orchestration layer. WhatsApp is the user interface, the AI engine understands the user request, and regulated partners handle KYC, funding, FX conversion, and India payouts.</w:t>
      </w:r>
    </w:p>
    <w:p w:rsidR="00000000" w:rsidDel="00000000" w:rsidP="00000000" w:rsidRDefault="00000000" w:rsidRPr="00000000" w14:paraId="00000004">
      <w:pPr>
        <w:spacing w:after="80" w:before="20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200" w:lineRule="auto"/>
        <w:jc w:val="center"/>
        <w:rPr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2. Simple System Flow</w:t>
      </w:r>
      <w:r w:rsidDel="00000000" w:rsidR="00000000" w:rsidRPr="00000000">
        <w:rPr>
          <w:rtl w:val="0"/>
        </w:rPr>
      </w:r>
    </w:p>
    <w:tbl>
      <w:tblPr>
        <w:tblStyle w:val="Table1"/>
        <w:tblW w:w="1151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0"/>
        <w:gridCol w:w="3139"/>
        <w:gridCol w:w="7439"/>
        <w:tblGridChange w:id="0">
          <w:tblGrid>
            <w:gridCol w:w="940"/>
            <w:gridCol w:w="3139"/>
            <w:gridCol w:w="7439"/>
          </w:tblGrid>
        </w:tblGridChange>
      </w:tblGrid>
      <w:tr>
        <w:trPr>
          <w:cantSplit w:val="0"/>
          <w:trHeight w:val="2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WhatsApp Client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user sends text or voice instruction.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WhatsApp Business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Receives and sends messages between WhatsApp and AI SmartPay.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 Routing Engine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Understands intent, extracts amount/recipient, and decides next step.</w:t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KYC / Bank Linking Partner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Verifies identity and funding source.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FX / Cross-Border Partner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Provides exchange rate and handles currency conversion or transfer rail.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India Payout Partner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Sends INR to the recipient through UPI, IMPS, or bank payout.</w:t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 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Tracks users, transfers, exceptions, and support actions.</w:t>
            </w:r>
          </w:p>
        </w:tc>
      </w:tr>
    </w:tbl>
    <w:p w:rsidR="00000000" w:rsidDel="00000000" w:rsidP="00000000" w:rsidRDefault="00000000" w:rsidRPr="00000000" w14:paraId="0000001E">
      <w:pPr>
        <w:spacing w:after="80" w:before="20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200" w:lineRule="auto"/>
        <w:jc w:val="center"/>
        <w:rPr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3. Main Components</w:t>
      </w:r>
      <w:r w:rsidDel="00000000" w:rsidR="00000000" w:rsidRPr="00000000">
        <w:rPr>
          <w:rtl w:val="0"/>
        </w:rPr>
      </w:r>
    </w:p>
    <w:tbl>
      <w:tblPr>
        <w:tblStyle w:val="Table2"/>
        <w:tblW w:w="11550.0" w:type="dxa"/>
        <w:jc w:val="left"/>
        <w:tblInd w:w="-46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0"/>
        <w:gridCol w:w="3465"/>
        <w:gridCol w:w="2865"/>
        <w:gridCol w:w="3450"/>
        <w:tblGridChange w:id="0">
          <w:tblGrid>
            <w:gridCol w:w="1770"/>
            <w:gridCol w:w="3465"/>
            <w:gridCol w:w="2865"/>
            <w:gridCol w:w="3450"/>
          </w:tblGrid>
        </w:tblGridChange>
      </w:tblGrid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Possible Partner /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Keys/Unique IDs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Messaging Layer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Handles inbound and outbound WhatsApp messages.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Meta Cloud API / Twilio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waba_id, phone_number_id, message_id, conversation_id, webhook_event id.</w:t>
            </w:r>
          </w:p>
        </w:tc>
      </w:tr>
      <w:tr>
        <w:trPr>
          <w:cantSplit w:val="0"/>
          <w:trHeight w:val="698.28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 Intent Parser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Converts user messages into structured actions.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LLM / custom prompt layer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intent_id, session_id, conversation_id.</w:t>
            </w:r>
          </w:p>
        </w:tc>
      </w:tr>
      <w:tr>
        <w:trPr>
          <w:cantSplit w:val="0"/>
          <w:trHeight w:val="683.28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KYC Layer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Verifies identity and screens users.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Persona / approved KYC provider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persona_inquiry_id, verification_id, kyc_status, user_kyc_id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Funding Layer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Links a US bank account or card and checks available funds.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Plaid / sponsor bank / payment processor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plaid_item_id, plaid_account_id, bank_reference_id, funding_source_id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FX Layer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Fetches exchange rate and creates locked quotes.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Wise / Nium / other FX provider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quote_id, rate_id, profile_id, transfer_id, customer_transaction_id</w:t>
            </w:r>
          </w:p>
        </w:tc>
      </w:tr>
      <w:tr>
        <w:trPr>
          <w:cantSplit w:val="0"/>
          <w:trHeight w:val="788.28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Payout Layer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Sends INR to recipients in India.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RazorpayX / Cashfree / bank partner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contact_id, fund_account_id, payout_id, reference_id, utr_number, payout_status</w:t>
            </w:r>
          </w:p>
        </w:tc>
      </w:tr>
      <w:tr>
        <w:trPr>
          <w:cantSplit w:val="0"/>
          <w:trHeight w:val="788.28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Compliance Layer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Checks suspicious transactions, sanctions, transaction limits and unusual activity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Persona/ compliance provider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risk_case_id, screening_id, risk_score, aml_flag_id, review_status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Stores users, recipients, transactions, status history, and audit logs.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Internal database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user_id, recipient_id, transaction_id, status_history_id, partner_reference_id</w:t>
            </w:r>
          </w:p>
        </w:tc>
      </w:tr>
    </w:tbl>
    <w:p w:rsidR="00000000" w:rsidDel="00000000" w:rsidP="00000000" w:rsidRDefault="00000000" w:rsidRPr="00000000" w14:paraId="00000044">
      <w:pPr>
        <w:spacing w:after="80" w:before="20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200" w:lineRule="auto"/>
        <w:jc w:val="center"/>
        <w:rPr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4. Transaction State Flow</w:t>
      </w:r>
      <w:r w:rsidDel="00000000" w:rsidR="00000000" w:rsidRPr="00000000">
        <w:rPr>
          <w:rtl w:val="0"/>
        </w:rPr>
      </w:r>
    </w:p>
    <w:tbl>
      <w:tblPr>
        <w:tblStyle w:val="Table3"/>
        <w:tblW w:w="112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8"/>
        <w:gridCol w:w="8802"/>
        <w:tblGridChange w:id="0">
          <w:tblGrid>
            <w:gridCol w:w="2418"/>
            <w:gridCol w:w="8802"/>
          </w:tblGrid>
        </w:tblGridChange>
      </w:tblGrid>
      <w:tr>
        <w:trPr>
          <w:cantSplit w:val="0"/>
          <w:trHeight w:val="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Quote Created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Exchange rate, fees, and payout amount are shown to the user.</w:t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Authorized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user has confirmed using secure approval.</w:t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Funds Collected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Funding source has been charged or reserved.</w:t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FX Converted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Currency conversion has been completed or locked.</w:t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Payout Initiated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India payout partner has started the payout.</w:t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recipient has received the money or final confirmation is available.</w:t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Transfer failed and needs retry/refund handling.</w:t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 Hold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Transfer is under review due to compliance or risk flag.</w:t>
            </w:r>
          </w:p>
        </w:tc>
      </w:tr>
    </w:tbl>
    <w:p w:rsidR="00000000" w:rsidDel="00000000" w:rsidP="00000000" w:rsidRDefault="00000000" w:rsidRPr="00000000" w14:paraId="00000058">
      <w:pPr>
        <w:spacing w:after="80" w:before="20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200" w:lineRule="auto"/>
        <w:jc w:val="center"/>
        <w:rPr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5. Data That Must Be Tracked</w:t>
      </w:r>
      <w:r w:rsidDel="00000000" w:rsidR="00000000" w:rsidRPr="00000000">
        <w:rPr>
          <w:rtl w:val="0"/>
        </w:rPr>
      </w:r>
    </w:p>
    <w:tbl>
      <w:tblPr>
        <w:tblStyle w:val="Table4"/>
        <w:tblW w:w="11081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89"/>
        <w:gridCol w:w="8493"/>
        <w:tblGridChange w:id="0">
          <w:tblGrid>
            <w:gridCol w:w="2589"/>
            <w:gridCol w:w="8493"/>
          </w:tblGrid>
        </w:tblGridChange>
      </w:tblGrid>
      <w:tr>
        <w:trPr>
          <w:cantSplit w:val="0"/>
          <w:trHeight w:val="23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 Profile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WhatsApp number, name, KYC status, transfer limit.</w:t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Recipient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Nickname, UPI ID, bank account, IFSC, validation status.</w:t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Transaction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Amount, currency, fee, FX rate, status, partner reference IDs.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Audit Trail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 confirmations, state changes, partner responses, support actions.</w:t>
            </w:r>
          </w:p>
        </w:tc>
      </w:tr>
      <w:tr>
        <w:trPr>
          <w:cantSplit w:val="0"/>
          <w:trHeight w:val="25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Risk Checks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AML result, velocity checks, suspicious activity flags.</w:t>
            </w:r>
          </w:p>
        </w:tc>
      </w:tr>
    </w:tbl>
    <w:p w:rsidR="00000000" w:rsidDel="00000000" w:rsidP="00000000" w:rsidRDefault="00000000" w:rsidRPr="00000000" w14:paraId="00000066">
      <w:pPr>
        <w:spacing w:after="80" w:befor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200" w:lineRule="auto"/>
        <w:jc w:val="center"/>
        <w:rPr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6. Security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lineRule="auto"/>
        <w:ind w:left="259" w:hanging="173"/>
        <w:rPr/>
      </w:pPr>
      <w:r w:rsidDel="00000000" w:rsidR="00000000" w:rsidRPr="00000000">
        <w:rPr>
          <w:rtl w:val="0"/>
        </w:rPr>
        <w:t xml:space="preserve">• Do not collect SSN, ID numbers, card numbers, or bank details in plain WhatsApp chat.</w:t>
      </w:r>
    </w:p>
    <w:p w:rsidR="00000000" w:rsidDel="00000000" w:rsidP="00000000" w:rsidRDefault="00000000" w:rsidRPr="00000000" w14:paraId="00000069">
      <w:pPr>
        <w:spacing w:after="40" w:lineRule="auto"/>
        <w:ind w:left="259" w:hanging="173"/>
        <w:rPr/>
      </w:pPr>
      <w:r w:rsidDel="00000000" w:rsidR="00000000" w:rsidRPr="00000000">
        <w:rPr>
          <w:rtl w:val="0"/>
        </w:rPr>
        <w:t xml:space="preserve">• Use secure webviews for KYC and payment authorization.</w:t>
      </w:r>
    </w:p>
    <w:p w:rsidR="00000000" w:rsidDel="00000000" w:rsidP="00000000" w:rsidRDefault="00000000" w:rsidRPr="00000000" w14:paraId="0000006A">
      <w:pPr>
        <w:spacing w:after="40" w:lineRule="auto"/>
        <w:ind w:left="259" w:hanging="173"/>
        <w:rPr/>
      </w:pPr>
      <w:r w:rsidDel="00000000" w:rsidR="00000000" w:rsidRPr="00000000">
        <w:rPr>
          <w:rtl w:val="0"/>
        </w:rPr>
        <w:t xml:space="preserve">• Require PIN, passcode, or biometric confirmation before moving funds.</w:t>
      </w:r>
    </w:p>
    <w:p w:rsidR="00000000" w:rsidDel="00000000" w:rsidP="00000000" w:rsidRDefault="00000000" w:rsidRPr="00000000" w14:paraId="0000006B">
      <w:pPr>
        <w:spacing w:after="40" w:lineRule="auto"/>
        <w:ind w:left="259" w:hanging="173"/>
        <w:rPr/>
      </w:pPr>
      <w:r w:rsidDel="00000000" w:rsidR="00000000" w:rsidRPr="00000000">
        <w:rPr>
          <w:rtl w:val="0"/>
        </w:rPr>
        <w:t xml:space="preserve">• Keep audit logs for every important user and system action.</w:t>
      </w:r>
    </w:p>
    <w:p w:rsidR="00000000" w:rsidDel="00000000" w:rsidP="00000000" w:rsidRDefault="00000000" w:rsidRPr="00000000" w14:paraId="0000006C">
      <w:pPr>
        <w:spacing w:after="40" w:lineRule="auto"/>
        <w:ind w:left="259" w:hanging="173"/>
        <w:rPr/>
      </w:pPr>
      <w:r w:rsidDel="00000000" w:rsidR="00000000" w:rsidRPr="00000000">
        <w:rPr>
          <w:rtl w:val="0"/>
        </w:rPr>
        <w:t xml:space="preserve">• Use generic user messages for compliance holds. Do not reveal AML or sanctions details to the user.</w:t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F0mdOHRBVfzLCyiqTyEkrYG9hA==">CgMxLjA4AHIhMXZUV0FYNkJEcU9YUC1OdXc1YmxQdjZ3ekwxN09kY0dZ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