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rsidP="19AED799" w14:paraId="2AA138DD" wp14:textId="77777777">
      <w:pPr>
        <w:spacing w:after="40"/>
        <w:jc w:val="both"/>
      </w:pPr>
      <w:r w:rsidRPr="19AED799" w:rsidR="19AED799">
        <w:rPr>
          <w:b w:val="1"/>
          <w:bCs w:val="1"/>
          <w:sz w:val="28"/>
          <w:szCs w:val="28"/>
        </w:rPr>
        <w:t>Content Management in Health Care: Converting Policy Documents into Computable Assets</w:t>
      </w:r>
    </w:p>
    <w:p xmlns:wp14="http://schemas.microsoft.com/office/word/2010/wordml" w:rsidP="19AED799" w14:paraId="3D7F8F8B" wp14:textId="21D718C0">
      <w:pPr>
        <w:spacing w:after="120"/>
        <w:jc w:val="both"/>
      </w:pPr>
      <w:r w:rsidRPr="19AED799" w:rsidR="19AED799">
        <w:rPr>
          <w:sz w:val="22"/>
          <w:szCs w:val="22"/>
        </w:rPr>
        <w:t xml:space="preserve">Naga Venkata Sai </w:t>
      </w:r>
      <w:r w:rsidRPr="19AED799" w:rsidR="19AED799">
        <w:rPr>
          <w:sz w:val="22"/>
          <w:szCs w:val="22"/>
        </w:rPr>
        <w:t>Chennu</w:t>
      </w:r>
      <w:r w:rsidRPr="19AED799" w:rsidR="19AED799">
        <w:rPr>
          <w:sz w:val="22"/>
          <w:szCs w:val="22"/>
        </w:rPr>
        <w:t xml:space="preserve">  |  George Mason University </w:t>
      </w:r>
      <w:r w:rsidRPr="19AED799" w:rsidR="52F2E7EA">
        <w:rPr>
          <w:sz w:val="22"/>
          <w:szCs w:val="22"/>
        </w:rPr>
        <w:t>| August</w:t>
      </w:r>
      <w:r w:rsidRPr="19AED799" w:rsidR="19AED799">
        <w:rPr>
          <w:sz w:val="22"/>
          <w:szCs w:val="22"/>
        </w:rPr>
        <w:t xml:space="preserve"> 2026</w:t>
      </w:r>
    </w:p>
    <w:p w:rsidR="19AED799" w:rsidP="19AED799" w:rsidRDefault="19AED799" w14:paraId="6F6D99E4" w14:textId="769138F7">
      <w:pPr>
        <w:spacing w:after="120"/>
        <w:jc w:val="both"/>
        <w:rPr>
          <w:sz w:val="22"/>
          <w:szCs w:val="22"/>
        </w:rPr>
      </w:pPr>
    </w:p>
    <w:p xmlns:wp14="http://schemas.microsoft.com/office/word/2010/wordml" w:rsidP="19AED799" w14:paraId="167E6DB4" wp14:textId="77777777">
      <w:pPr>
        <w:spacing w:before="120" w:after="40"/>
        <w:jc w:val="both"/>
      </w:pPr>
      <w:r w:rsidRPr="19AED799" w:rsidR="19AED799">
        <w:rPr>
          <w:b w:val="1"/>
          <w:bCs w:val="1"/>
          <w:sz w:val="24"/>
          <w:szCs w:val="24"/>
        </w:rPr>
        <w:t>Defining the Concept</w:t>
      </w:r>
    </w:p>
    <w:p xmlns:wp14="http://schemas.microsoft.com/office/word/2010/wordml" w14:paraId="18CFBA02" wp14:textId="77777777">
      <w:pPr>
        <w:spacing w:after="60"/>
        <w:jc w:val="both"/>
      </w:pPr>
      <w:r>
        <w:rPr>
          <w:i w:val="0"/>
        </w:rPr>
        <w:t>Health care runs on documents. Billing and coding policies, clinical practice guidelines, and payer–provider contracts determine what is covered, how it is billed, and who is paid. Content management in health care is the practice of governing that material systematically. The difficulty is that most of it still exists as prose in PDFs and web portals, so a person must read each policy, determine what it means, and translate it by hand into claim edits, audit rules, or prior authorization criteria. That translation work is slow, expensive, and easy to get wrong.</w:t>
      </w:r>
    </w:p>
    <w:p xmlns:wp14="http://schemas.microsoft.com/office/word/2010/wordml" w:rsidP="19AED799" w14:paraId="0C8FBC73" wp14:textId="23D3CBC9">
      <w:pPr>
        <w:spacing w:after="60"/>
        <w:ind w:firstLine="0"/>
        <w:jc w:val="both"/>
      </w:pPr>
      <w:r w:rsidRPr="19AED799" w:rsidR="19AED799">
        <w:rPr>
          <w:i w:val="0"/>
          <w:iCs w:val="0"/>
        </w:rPr>
        <w:t xml:space="preserve">Large language models change what is possible. A policy can be treated not as something a person reads but as a computable asset: summarized into structured criteria, compared against its prior version to isolate what changed, and converted into rules other systems execute. For </w:t>
      </w:r>
      <w:r w:rsidRPr="19AED799" w:rsidR="79E61869">
        <w:rPr>
          <w:i w:val="0"/>
          <w:iCs w:val="0"/>
        </w:rPr>
        <w:t>Cotiviti,</w:t>
      </w:r>
      <w:r w:rsidRPr="19AED799" w:rsidR="19AED799">
        <w:rPr>
          <w:i w:val="0"/>
          <w:iCs w:val="0"/>
        </w:rPr>
        <w:t xml:space="preserve"> this is not peripheral. The company’s business depends on encoding thousands of payer policies into </w:t>
      </w:r>
      <w:r w:rsidRPr="19AED799" w:rsidR="19AED799">
        <w:rPr>
          <w:i w:val="0"/>
          <w:iCs w:val="0"/>
        </w:rPr>
        <w:t>accurate</w:t>
      </w:r>
      <w:r w:rsidRPr="19AED799" w:rsidR="19AED799">
        <w:rPr>
          <w:i w:val="0"/>
          <w:iCs w:val="0"/>
        </w:rPr>
        <w:t xml:space="preserve"> claim edits and audit logic, which makes policy content the raw material of the product rather than a record of it.</w:t>
      </w:r>
    </w:p>
    <w:p xmlns:wp14="http://schemas.microsoft.com/office/word/2010/wordml" w:rsidP="19AED799" w14:paraId="10159A30" wp14:textId="77777777">
      <w:pPr>
        <w:spacing w:before="120" w:after="40"/>
        <w:jc w:val="both"/>
      </w:pPr>
      <w:r w:rsidRPr="19AED799" w:rsidR="19AED799">
        <w:rPr>
          <w:b w:val="1"/>
          <w:bCs w:val="1"/>
          <w:sz w:val="24"/>
          <w:szCs w:val="24"/>
        </w:rPr>
        <w:t>Relevant Trends</w:t>
      </w:r>
    </w:p>
    <w:p xmlns:wp14="http://schemas.microsoft.com/office/word/2010/wordml" w14:paraId="03F4A0A0" wp14:textId="2202E032">
      <w:pPr>
        <w:spacing w:after="60"/>
        <w:jc w:val="both"/>
      </w:pPr>
      <w:r w:rsidRPr="19AED799" w:rsidR="4D28EE6E">
        <w:rPr>
          <w:i w:val="0"/>
          <w:iCs w:val="0"/>
        </w:rPr>
        <w:t>Economics</w:t>
      </w:r>
      <w:r w:rsidRPr="19AED799" w:rsidR="4D28EE6E">
        <w:rPr>
          <w:i w:val="0"/>
          <w:iCs w:val="0"/>
        </w:rPr>
        <w:t xml:space="preserve"> justify attention. Administrative activity accounts for 15 to 30 percent of U.S. medical spending, much of it billing and insurance-related work such as claims management, coding, and prior authorization (Health Affairs, 2022). Billing costs reach hundreds of dollars for a single complex inpatient bill (Tseng et al., 2018). Every hour between “policy published” and “rule deployed” adds to that burden.</w:t>
      </w:r>
    </w:p>
    <w:p xmlns:wp14="http://schemas.microsoft.com/office/word/2010/wordml" w:rsidP="19AED799" w14:paraId="31C456AE" wp14:textId="44FE0E46">
      <w:pPr>
        <w:spacing w:after="60"/>
        <w:ind w:firstLine="0"/>
        <w:jc w:val="both"/>
      </w:pPr>
      <w:r w:rsidRPr="19AED799" w:rsidR="5AFE4118">
        <w:rPr>
          <w:i w:val="0"/>
          <w:iCs w:val="0"/>
        </w:rPr>
        <w:t>Technology</w:t>
      </w:r>
      <w:r w:rsidRPr="19AED799" w:rsidR="19AED799">
        <w:rPr>
          <w:i w:val="0"/>
          <w:iCs w:val="0"/>
        </w:rPr>
        <w:t xml:space="preserve"> is now good enough to matter. When clinical guidelines were restructured and supplied to a large language model through retrieval-augmented generation, accuracy on interpretation questions rose from 43 to 99 percent (Kresevic et al., 2024). A separate evaluation used two frontier models to classify guideline recommendations, applying cross-model comparison and consistency thresholds to flag unreliable outputs for human review (“Extracting Clinical Guideline Information,” 2025). </w:t>
      </w:r>
      <w:r w:rsidRPr="19AED799" w:rsidR="19AED799">
        <w:rPr>
          <w:i w:val="0"/>
          <w:iCs w:val="0"/>
        </w:rPr>
        <w:t>The raw capability exists; the hard problem is reliability engineering, not the models.</w:t>
      </w:r>
    </w:p>
    <w:p xmlns:wp14="http://schemas.microsoft.com/office/word/2010/wordml" w:rsidP="19AED799" w14:paraId="0DECFE08" wp14:textId="77777777">
      <w:pPr>
        <w:spacing w:after="60"/>
        <w:ind w:firstLine="0"/>
        <w:jc w:val="both"/>
      </w:pPr>
      <w:r w:rsidRPr="19AED799" w:rsidR="19AED799">
        <w:rPr>
          <w:i w:val="0"/>
          <w:iCs w:val="0"/>
        </w:rPr>
        <w:t>Regulation pushes the same direction. Under CMS-0057-F, affected payers must meet faster prior authorization timelines and give specific denial reasons beginning in 2026, and stand up FHIR-based Prior Authorization APIs by January 1, 2027 (Centers for Medicare &amp; Medicaid Services, 2024). It is hard to see how a payer meets a 72-hour urgent decision window at scale while its coverage criteria remain buried in prose. Surveys cited by Cotiviti indicate more than 85 percent of payers already use or pilot generative AI, and that available AI could cut payer administrative costs by as much as 25 percent (Cotiviti, 2025).</w:t>
      </w:r>
    </w:p>
    <w:p xmlns:wp14="http://schemas.microsoft.com/office/word/2010/wordml" w:rsidP="19AED799" w14:paraId="239B5C28" wp14:textId="77777777">
      <w:pPr>
        <w:spacing w:before="120" w:after="40"/>
        <w:jc w:val="both"/>
      </w:pPr>
      <w:r w:rsidRPr="19AED799" w:rsidR="19AED799">
        <w:rPr>
          <w:b w:val="1"/>
          <w:bCs w:val="1"/>
          <w:sz w:val="24"/>
          <w:szCs w:val="24"/>
        </w:rPr>
        <w:t>Opportunities and Threats</w:t>
      </w:r>
    </w:p>
    <w:p xmlns:wp14="http://schemas.microsoft.com/office/word/2010/wordml" w14:paraId="462DD3E3" wp14:textId="458DCBAC">
      <w:pPr>
        <w:spacing w:after="60"/>
        <w:jc w:val="both"/>
      </w:pPr>
      <w:r>
        <w:t>The opportunity is speed and traceability. When CMS updates a coverage determination, a language-model pipeline can summarize the change, diff it against the prior version, and draft candidate claim edits in hours rather than weeks, growing the edit library faster and shortening client onboarding. Attaching a citation-linked rationale to each edit or denial is precisely the explanation CMS-0057-F now expects and should reduce provider friction and improve appeal outcomes. The work compounds: every policy converted into structured form becomes reusable content feeding analytics, audit selection, and fraud detection.</w:t>
      </w:r>
    </w:p>
    <w:p xmlns:wp14="http://schemas.microsoft.com/office/word/2010/wordml" w:rsidP="19AED799" w14:paraId="1450D440" wp14:textId="264FF147">
      <w:pPr>
        <w:spacing w:after="60"/>
        <w:ind w:firstLine="0"/>
        <w:jc w:val="both"/>
      </w:pPr>
      <w:r>
        <w:t>The threats deserve equal weight. The same tools lower the barrier for competitors, including startups moving quickly on policy-driven workflows. Model risk is more serious: a hallucinated or subtly wrong rule conversion can produce improper denials, and with them regulatory exposure and reputational damage (Cotiviti, 2024). A prototype built for this analysis showed the failure concretely. Asked to convert a coverage determination into executable rules, the model met a criterion with no corresponding claim field and encoded it by borrowing an unrelated one, producing a defensible denial attached to an incorrect stated rationale. Three rounds of prompt refinement suppressed the behavior without eliminating it, and the defect stayed invisible until every rule was required to cite the policy section it encoded. That is the strongest argument for designing human review, citation integrity, and audit trails from the start. Reliance on third-party foundation models adds a quieter dependency risk carrying cost, privacy, and continuity implications.</w:t>
      </w:r>
    </w:p>
    <w:p xmlns:wp14="http://schemas.microsoft.com/office/word/2010/wordml" w:rsidP="19AED799" w14:paraId="7E3D14FD" wp14:textId="77777777">
      <w:pPr>
        <w:spacing w:before="120" w:after="40"/>
        <w:jc w:val="both"/>
      </w:pPr>
      <w:r w:rsidRPr="19AED799" w:rsidR="19AED799">
        <w:rPr>
          <w:b w:val="1"/>
          <w:bCs w:val="1"/>
          <w:sz w:val="24"/>
          <w:szCs w:val="24"/>
        </w:rPr>
        <w:t>Strategic Options for Cotiviti</w:t>
      </w:r>
    </w:p>
    <w:p xmlns:wp14="http://schemas.microsoft.com/office/word/2010/wordml" w14:paraId="185A74BE" wp14:textId="77777777">
      <w:pPr>
        <w:spacing w:after="60"/>
        <w:jc w:val="both"/>
      </w:pPr>
      <w:r>
        <w:rPr>
          <w:i w:val="0"/>
        </w:rPr>
        <w:t>I recommend an internal policy intelligence platform: a pipeline that ingests billing policies, coverage criteria, and contracts, produces structured summaries and version-to-version change reports, and drafts rule candidates that human policy analysts approve before deployment. It accelerates the edit-development lifecycle already central to Cotiviti’s business, fits the company’s stated “augmented intelligence” principle of keeping experts in the loop (Cotiviti, 2025), and over time the corpus of validated policy-to-rule mappings becomes intellectual property that is hard to copy.</w:t>
      </w:r>
    </w:p>
    <w:p xmlns:wp14="http://schemas.microsoft.com/office/word/2010/wordml" w:rsidP="19AED799" w14:paraId="79CF376F" wp14:textId="5BADE849">
      <w:pPr>
        <w:spacing w:after="60"/>
        <w:ind w:firstLine="0"/>
        <w:jc w:val="both"/>
      </w:pPr>
      <w:r>
        <w:t>Two adjacent positions follow. The same capability can be pointed outward as a CMS-0057-F readiness service, converting client medical policies into FHIR-aligned, API-ready prior authorization criteria with citation-linked denial explanations; the 2026 and 2027 deadlines supply urgency. Alternatively, reliability itself becomes the product: formalize the evaluation harnesses, dual-model cross-checks, and consistency-threshold review queues the literature points toward (“Extracting Clinical Guideline Information,” 2025), then market that governance framework. Where a single accuracy failure can end a client’s relationship, provable reliability is a competitive position, not merely a safeguard.</w:t>
      </w:r>
    </w:p>
    <w:p xmlns:wp14="http://schemas.microsoft.com/office/word/2010/wordml" w:rsidP="19AED799" w14:paraId="5065D546" wp14:textId="556232F1">
      <w:pPr>
        <w:spacing w:after="60"/>
        <w:ind w:firstLine="0"/>
        <w:jc w:val="both"/>
      </w:pPr>
      <w:r>
        <w:t>None of these requires a bet on unproven technology. Together they turn a document burden the industry complains about into faster operations, revenue tied to a regulatory deadline, and a reputation for precision.</w:t>
      </w:r>
    </w:p>
    <w:p>
      <w:r>
        <w:br w:type="page"/>
      </w:r>
    </w:p>
    <w:p>
      <w:pPr>
        <w:spacing w:after="200"/>
        <w:jc w:val="center"/>
      </w:pPr>
      <w:r>
        <w:rPr>
          <w:b/>
        </w:rPr>
        <w:t>References</w:t>
      </w:r>
    </w:p>
    <w:p>
      <w:pPr>
        <w:spacing w:after="200"/>
        <w:ind w:left="720" w:hanging="720"/>
      </w:pPr>
      <w:r>
        <w:t xml:space="preserve">Centers for Medicare &amp; Medicaid Services. (2024). </w:t>
      </w:r>
      <w:r>
        <w:rPr>
          <w:i/>
        </w:rPr>
        <w:t>CMS interoperability and prior authorization final rule (CMS-0057-F)</w:t>
      </w:r>
      <w:r>
        <w:t>. U.S. Department of Health and Human Services. https://www.cms.gov/priorities/key-initiatives/burden-reduction/interoperability/policies-and-regulations/cms-interoperability-and-prior-authorization-final-rule-cms-0057-f</w:t>
      </w:r>
    </w:p>
    <w:p>
      <w:pPr>
        <w:spacing w:after="200"/>
        <w:ind w:left="720" w:hanging="720"/>
      </w:pPr>
      <w:r>
        <w:t xml:space="preserve">Cotiviti. (2024, August 15). </w:t>
      </w:r>
      <w:r>
        <w:rPr>
          <w:i/>
        </w:rPr>
        <w:t>Podcast: Deploying AI in payment integrity responsibly</w:t>
      </w:r>
      <w:r>
        <w:t>. https://resources.cotiviti.com/payment-integrity/podcast-deploying-ai-in-payment-integrity-responsibly</w:t>
      </w:r>
    </w:p>
    <w:p>
      <w:pPr>
        <w:spacing w:after="200"/>
        <w:ind w:left="720" w:hanging="720"/>
      </w:pPr>
      <w:r>
        <w:t xml:space="preserve">Cotiviti. (2025, November 24). </w:t>
      </w:r>
      <w:r>
        <w:rPr>
          <w:i/>
        </w:rPr>
        <w:t>The evolving role of artificial intelligence in payment integrity</w:t>
      </w:r>
      <w:r>
        <w:t xml:space="preserve"> [eBook]. https://resources.cotiviti.com/payment-integrity/the-evolving-role-of-artificial-intelligence-in-payment-integrity</w:t>
      </w:r>
    </w:p>
    <w:p>
      <w:pPr>
        <w:spacing w:after="200"/>
        <w:ind w:left="720" w:hanging="720"/>
      </w:pPr>
      <w:r>
        <w:t xml:space="preserve">Extracting clinical guideline information using two large language models: Evaluation study. (2025). </w:t>
      </w:r>
      <w:r>
        <w:rPr>
          <w:i/>
        </w:rPr>
        <w:t>Journal of Medical Internet Research</w:t>
      </w:r>
      <w:r>
        <w:t>. https://www.ncbi.nlm.nih.gov/pmc/articles/PMC12413144/</w:t>
      </w:r>
    </w:p>
    <w:p>
      <w:pPr>
        <w:spacing w:after="200"/>
        <w:ind w:left="720" w:hanging="720"/>
      </w:pPr>
      <w:r>
        <w:t xml:space="preserve">Health Affairs. (2022, October 6). The role of administrative waste in excess US health spending. </w:t>
      </w:r>
      <w:r>
        <w:rPr>
          <w:i/>
        </w:rPr>
        <w:t>Health Affairs Health Policy Brief</w:t>
      </w:r>
      <w:r>
        <w:t>. https://doi.org/10.1377/hpb20220909.830296</w:t>
      </w:r>
    </w:p>
    <w:p>
      <w:pPr>
        <w:spacing w:after="200"/>
        <w:ind w:left="720" w:hanging="720"/>
      </w:pPr>
      <w:r>
        <w:t xml:space="preserve">Kresevic, S., Giuffrè, M., Ajcevic, M., Accardo, A., Crocè, L. S., &amp; Shung, D. L. (2024). Optimization of hepatological clinical guidelines interpretation by large language models: A retrieval augmented generation-based framework. </w:t>
      </w:r>
      <w:r>
        <w:rPr>
          <w:i/>
        </w:rPr>
        <w:t>npj Digital Medicine, 7</w:t>
      </w:r>
      <w:r>
        <w:t>, Article 102. https://doi.org/10.1038/s41746-024-01091-y</w:t>
      </w:r>
    </w:p>
    <w:p>
      <w:pPr>
        <w:spacing w:after="200"/>
        <w:ind w:left="720" w:hanging="720"/>
      </w:pPr>
      <w:r>
        <w:t xml:space="preserve">Tseng, P., Kaplan, R. S., Richman, B. D., Shah, M. A., &amp; Schulman, K. A. (2018). Administrative costs associated with physician billing and insurance-related activities at an academic health care system. </w:t>
      </w:r>
      <w:r>
        <w:rPr>
          <w:i/>
        </w:rPr>
        <w:t>JAMA, 319</w:t>
      </w:r>
      <w:r>
        <w:t>(7), 691–697. https://doi.org/10.1001/jama.2017.19148</w:t>
      </w:r>
    </w:p>
    <w:sectPr w:rsidRPr="0006063C" w:rsidR="00FC693F" w:rsidSect="00034616">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696BC08"/>
    <w:rsid w:val="19AED799"/>
    <w:rsid w:val="1A755C63"/>
    <w:rsid w:val="30E103CE"/>
    <w:rsid w:val="4A467D1C"/>
    <w:rsid w:val="4D28EE6E"/>
    <w:rsid w:val="52F2E7EA"/>
    <w:rsid w:val="5AFE4118"/>
    <w:rsid w:val="5CC96CA4"/>
    <w:rsid w:val="6F7D8BFF"/>
    <w:rsid w:val="711FDD40"/>
    <w:rsid w:val="79E6186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562B3E6F-67FA-4799-A9B6-45152180BDA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spacing w:before="0" w:after="60" w:line="24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Content Management in Health Care: Converting Policy Documents into Computable Assets</dc:title>
  <dc:subject/>
  <dc:creator>Naga Venkata Sai Chennu</dc:creator>
  <keywords/>
  <dc:description/>
  <lastModifiedBy>Naga Venkata Sai Chennu</lastModifiedBy>
  <revision>2</revision>
  <dcterms:created xsi:type="dcterms:W3CDTF">2026-08-06T13:30:00Z</dcterms:created>
  <dcterms:modified xsi:type="dcterms:W3CDTF">2026-08-06T13:30:00Z</dcterms:modified>
  <category/>
</coreProperties>
</file>