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F381" w14:textId="77777777" w:rsidR="00FD027A" w:rsidRDefault="00287DD9" w:rsidP="00351121">
      <w:pPr>
        <w:pStyle w:val="Heading1"/>
        <w:pageBreakBefore/>
        <w:rPr>
          <w:lang w:val="nl-NL"/>
        </w:rPr>
      </w:pPr>
      <w:proofErr w:type="spellStart"/>
      <w:r>
        <w:rPr>
          <w:lang w:val="nl-NL"/>
        </w:rPr>
        <w:t>References</w:t>
      </w:r>
      <w:proofErr w:type="spellEnd"/>
    </w:p>
    <w:p w14:paraId="17BB684B" w14:textId="77777777" w:rsidR="002F13DA" w:rsidRDefault="00000000">
      <w:pPr>
        <w:pStyle w:val="Bibliography"/>
      </w:pPr>
      <w:r>
        <w:t xml:space="preserve">Appay, V., Almeida, J., Sauce, D., Autran, B., &amp; Papagno, L. (2007, May). Accelerated immune senescence and HIV-1 infection. </w:t>
      </w:r>
      <w:r>
        <w:rPr>
          <w:i/>
          <w:iCs/>
        </w:rPr>
        <w:t>Experimental Gerontology</w:t>
      </w:r>
      <w:r>
        <w:t xml:space="preserve">, </w:t>
      </w:r>
      <w:r>
        <w:rPr>
          <w:i/>
          <w:iCs/>
        </w:rPr>
        <w:t>42</w:t>
      </w:r>
      <w:r>
        <w:t>(5), 432–437. https://doi.org/10.1016/j.exger.2006.12.003</w:t>
      </w:r>
    </w:p>
    <w:p w14:paraId="0B9CC337" w14:textId="77777777" w:rsidR="002F13DA" w:rsidRDefault="00000000">
      <w:pPr>
        <w:pStyle w:val="Bibliography"/>
      </w:pPr>
      <w:r>
        <w:t xml:space="preserve">Cohen, M. S., Shaw, G. M., McMichael, A. J., &amp; Haynes, B. F. (2011, May 19). Acute HIV-1 Infection. </w:t>
      </w:r>
      <w:r>
        <w:rPr>
          <w:i/>
          <w:iCs/>
        </w:rPr>
        <w:t>New England Journal of Medicine</w:t>
      </w:r>
      <w:r>
        <w:t xml:space="preserve">, </w:t>
      </w:r>
      <w:r>
        <w:rPr>
          <w:i/>
          <w:iCs/>
        </w:rPr>
        <w:t>364</w:t>
      </w:r>
      <w:r>
        <w:t>(20), 1943–1954. https://doi.org/10.1056/nejmra1011874</w:t>
      </w:r>
    </w:p>
    <w:p w14:paraId="17F9D0C7" w14:textId="77777777" w:rsidR="002F13DA" w:rsidRDefault="00000000">
      <w:pPr>
        <w:pStyle w:val="Bibliography"/>
      </w:pPr>
      <w:r>
        <w:t xml:space="preserve">Deeks, S. G., Archin, N., Cannon, P., Collins, S., Jones, R. B., de Jong, M. A. W. P., Lambotte, O., Lamplough, R., Ndung’u, T., Sugarman, J., Tiemessen, C. T., Vandekerckhove, L., Lewin, S. R., Deeks, S., Lewin, S., de Jong, M., Ndhlovu, Z., Chomont, N., Brumme, Z., . . . Kankaka, E. N. (2021, December). Research priorities for an HIV cure: International AIDS Society Global Scientific Strategy 2021. </w:t>
      </w:r>
      <w:r>
        <w:rPr>
          <w:i/>
          <w:iCs/>
        </w:rPr>
        <w:t>Nature Medicine</w:t>
      </w:r>
      <w:r>
        <w:t xml:space="preserve">, </w:t>
      </w:r>
      <w:r>
        <w:rPr>
          <w:i/>
          <w:iCs/>
        </w:rPr>
        <w:t>27</w:t>
      </w:r>
      <w:r>
        <w:t>(12), 2085–2098. https://doi.org/10.1038/s41591-021-01590-5</w:t>
      </w:r>
    </w:p>
    <w:p w14:paraId="65CB13D2" w14:textId="77777777" w:rsidR="002F13DA" w:rsidRDefault="00000000">
      <w:pPr>
        <w:pStyle w:val="Bibliography"/>
      </w:pPr>
      <w:r>
        <w:t xml:space="preserve">Gallant, J. E. (1994, June 1). Prophylaxis for Opportunistic Infections in Patients with HIV Infection. </w:t>
      </w:r>
      <w:r>
        <w:rPr>
          <w:i/>
          <w:iCs/>
        </w:rPr>
        <w:t>Annals of Internal Medicine</w:t>
      </w:r>
      <w:r>
        <w:t xml:space="preserve">, </w:t>
      </w:r>
      <w:r>
        <w:rPr>
          <w:i/>
          <w:iCs/>
        </w:rPr>
        <w:t>120</w:t>
      </w:r>
      <w:r>
        <w:t>(11), 932. https://doi.org/10.7326/0003-4819-120-11-199406010-00006</w:t>
      </w:r>
    </w:p>
    <w:p w14:paraId="3AC43B9A" w14:textId="77777777" w:rsidR="002F13DA" w:rsidRDefault="00000000">
      <w:pPr>
        <w:pStyle w:val="Bibliography"/>
      </w:pPr>
      <w:r>
        <w:t xml:space="preserve">Gallo, R. C. (2020, April). HIV/AIDS Research for the Future. </w:t>
      </w:r>
      <w:r>
        <w:rPr>
          <w:i/>
          <w:iCs/>
        </w:rPr>
        <w:t>Cell Host &amp;Amp; Microbe</w:t>
      </w:r>
      <w:r>
        <w:t xml:space="preserve">, </w:t>
      </w:r>
      <w:r>
        <w:rPr>
          <w:i/>
          <w:iCs/>
        </w:rPr>
        <w:t>27</w:t>
      </w:r>
      <w:r>
        <w:t>(4), 499–501. https://doi.org/10.1016/j.chom.2020.03.022</w:t>
      </w:r>
    </w:p>
    <w:p w14:paraId="152F5465" w14:textId="77777777" w:rsidR="002F13DA" w:rsidRDefault="00000000">
      <w:pPr>
        <w:pStyle w:val="Bibliography"/>
      </w:pPr>
      <w:r>
        <w:t xml:space="preserve">Garcia, S. A., &amp; Guzman, N. (2021, August 11). </w:t>
      </w:r>
      <w:r>
        <w:rPr>
          <w:i/>
          <w:iCs/>
        </w:rPr>
        <w:t>Acquired Immune Deficiency Syndrome CD4+ Count</w:t>
      </w:r>
      <w:r>
        <w:t>. National Library of Medicine. Retrieved October 16, 2022, from https://www.ncbi.nlm.nih.gov/books/NBK513289/</w:t>
      </w:r>
    </w:p>
    <w:p w14:paraId="53C56B2D" w14:textId="77777777" w:rsidR="002F13DA" w:rsidRDefault="00000000">
      <w:pPr>
        <w:pStyle w:val="Bibliography"/>
      </w:pPr>
      <w:r>
        <w:rPr>
          <w:i/>
          <w:iCs/>
        </w:rPr>
        <w:t>HIV</w:t>
      </w:r>
      <w:r>
        <w:t>. (2022, July 27). Retrieved October 16, 2022, from https://www.who.int/data/gho/data/themes/hiv-aids</w:t>
      </w:r>
    </w:p>
    <w:p w14:paraId="57AD77EF" w14:textId="77777777" w:rsidR="002F13DA" w:rsidRDefault="00000000">
      <w:pPr>
        <w:pStyle w:val="Bibliography"/>
      </w:pPr>
      <w:r>
        <w:t xml:space="preserve">Levy, J. A. (1994, October 17). </w:t>
      </w:r>
      <w:r>
        <w:rPr>
          <w:i/>
          <w:iCs/>
        </w:rPr>
        <w:t>HIV And the Pathogenesis of AIDS</w:t>
      </w:r>
      <w:r>
        <w:t>. Amer Society for Microbiology.</w:t>
      </w:r>
    </w:p>
    <w:p w14:paraId="34DEFCD1" w14:textId="77777777" w:rsidR="002F13DA" w:rsidRDefault="00000000">
      <w:pPr>
        <w:pStyle w:val="Bibliography"/>
      </w:pPr>
      <w:r>
        <w:lastRenderedPageBreak/>
        <w:t xml:space="preserve">Lloyd, S. B., Kent, S. J., &amp; Winnall, W. R. (2014, January). The High Cost of Fidelity. </w:t>
      </w:r>
      <w:r>
        <w:rPr>
          <w:i/>
          <w:iCs/>
        </w:rPr>
        <w:t>AIDS Research and Human Retroviruses</w:t>
      </w:r>
      <w:r>
        <w:t xml:space="preserve">, </w:t>
      </w:r>
      <w:r>
        <w:rPr>
          <w:i/>
          <w:iCs/>
        </w:rPr>
        <w:t>30</w:t>
      </w:r>
      <w:r>
        <w:t>(1), 8–16. https://doi.org/10.1089/aid.2013.0153</w:t>
      </w:r>
    </w:p>
    <w:p w14:paraId="6995B477" w14:textId="77777777" w:rsidR="002F13DA" w:rsidRDefault="00000000">
      <w:pPr>
        <w:pStyle w:val="Bibliography"/>
      </w:pPr>
      <w:r>
        <w:t xml:space="preserve">Lu, D. Y., Lu, T. R., Che, J. Y., Wu, H. Y., &amp; Xu, B. (2015, May 12). New Perspectives of HIV/AIDS Therapy Study. </w:t>
      </w:r>
      <w:r>
        <w:rPr>
          <w:i/>
          <w:iCs/>
        </w:rPr>
        <w:t>Recent Patents on Anti-Infective Drug Discovery</w:t>
      </w:r>
      <w:r>
        <w:t xml:space="preserve">, </w:t>
      </w:r>
      <w:r>
        <w:rPr>
          <w:i/>
          <w:iCs/>
        </w:rPr>
        <w:t>9</w:t>
      </w:r>
      <w:r>
        <w:t>(2), 112–120. https://doi.org/10.2174/1574891x10666150109115402</w:t>
      </w:r>
    </w:p>
    <w:p w14:paraId="2F393191" w14:textId="77777777" w:rsidR="002F13DA" w:rsidRDefault="00000000">
      <w:pPr>
        <w:pStyle w:val="Bibliography"/>
      </w:pPr>
      <w:r>
        <w:t xml:space="preserve">Luckheeram, R. V., Zhou, R., Verma, A. D., &amp; Xia, B. (2012). CD4+T Cells: Differentiation and Functions. </w:t>
      </w:r>
      <w:r>
        <w:rPr>
          <w:i/>
          <w:iCs/>
        </w:rPr>
        <w:t>Clinical and Developmental Immunology</w:t>
      </w:r>
      <w:r>
        <w:t xml:space="preserve">, </w:t>
      </w:r>
      <w:r>
        <w:rPr>
          <w:i/>
          <w:iCs/>
        </w:rPr>
        <w:t>2012</w:t>
      </w:r>
      <w:r>
        <w:t>, 1–12. https://doi.org/10.1155/2012/925135</w:t>
      </w:r>
    </w:p>
    <w:p w14:paraId="402F5693" w14:textId="77777777" w:rsidR="002F13DA" w:rsidRDefault="00000000">
      <w:pPr>
        <w:pStyle w:val="Bibliography"/>
      </w:pPr>
      <w:r>
        <w:t xml:space="preserve">Martinez-Cajas, J. L., &amp; Wainberg, M. A. (2008). Antiretroviral Therapy. </w:t>
      </w:r>
      <w:r>
        <w:rPr>
          <w:i/>
          <w:iCs/>
        </w:rPr>
        <w:t>Drugs</w:t>
      </w:r>
      <w:r>
        <w:t xml:space="preserve">, </w:t>
      </w:r>
      <w:r>
        <w:rPr>
          <w:i/>
          <w:iCs/>
        </w:rPr>
        <w:t>68</w:t>
      </w:r>
      <w:r>
        <w:t>(1), 43–72. https://doi.org/10.2165/00003495-200868010-00004</w:t>
      </w:r>
    </w:p>
    <w:p w14:paraId="73192981" w14:textId="77777777" w:rsidR="002F13DA" w:rsidRDefault="00000000">
      <w:pPr>
        <w:pStyle w:val="Bibliography"/>
      </w:pPr>
      <w:r>
        <w:t xml:space="preserve">Morris, S. E. (2020, February 11). </w:t>
      </w:r>
      <w:r>
        <w:rPr>
          <w:i/>
          <w:iCs/>
        </w:rPr>
        <w:t>ushr: Understanding suppression of HIV in R - BMC Bioinformatics</w:t>
      </w:r>
      <w:r>
        <w:t>. BioMed Central. Retrieved October 17, 2022, from https://bmcbioinformatics.biomedcentral.com/articles/10.1186/s12859-020-3389-x</w:t>
      </w:r>
    </w:p>
    <w:p w14:paraId="275A2D7B" w14:textId="77777777" w:rsidR="002F13DA" w:rsidRDefault="00000000">
      <w:pPr>
        <w:pStyle w:val="Bibliography"/>
      </w:pPr>
      <w:r>
        <w:t xml:space="preserve">Phillips, A. N., Neaton, J., &amp; Lundgren, J. D. (2008, November 30). The role of HIV in serious diseases other than AIDS. </w:t>
      </w:r>
      <w:r>
        <w:rPr>
          <w:i/>
          <w:iCs/>
        </w:rPr>
        <w:t>AIDS</w:t>
      </w:r>
      <w:r>
        <w:t xml:space="preserve">, </w:t>
      </w:r>
      <w:r>
        <w:rPr>
          <w:i/>
          <w:iCs/>
        </w:rPr>
        <w:t>22</w:t>
      </w:r>
      <w:r>
        <w:t>(18), 2409–2418. https://doi.org/10.1097/qad.0b013e3283174636</w:t>
      </w:r>
    </w:p>
    <w:p w14:paraId="498F85A6" w14:textId="77777777" w:rsidR="002F13DA" w:rsidRDefault="00000000">
      <w:pPr>
        <w:pStyle w:val="Bibliography"/>
      </w:pPr>
      <w:r>
        <w:t xml:space="preserve">Rawson, J. M. O., Landman, S. R., Reilly, C. S., &amp; Mansky, L. M. (2015, July 10). HIV-1 and HIV-2 exhibit similar mutation frequencies and spectra in the absence of G-to-A hypermutation. </w:t>
      </w:r>
      <w:r>
        <w:rPr>
          <w:i/>
          <w:iCs/>
        </w:rPr>
        <w:t>Retrovirology</w:t>
      </w:r>
      <w:r>
        <w:t xml:space="preserve">, </w:t>
      </w:r>
      <w:r>
        <w:rPr>
          <w:i/>
          <w:iCs/>
        </w:rPr>
        <w:t>12</w:t>
      </w:r>
      <w:r>
        <w:t>(1). https://doi.org/10.1186/s12977-015-0180-6</w:t>
      </w:r>
    </w:p>
    <w:p w14:paraId="22071377" w14:textId="77777777" w:rsidR="002F13DA" w:rsidRDefault="00000000">
      <w:pPr>
        <w:pStyle w:val="Bibliography"/>
      </w:pPr>
      <w:r>
        <w:t xml:space="preserve">Rijnders, B. J. A., &amp; Rokx, C. (2019, January 2). Antiretroviral Monotherapy for HIV: Game Over or Future Perspectives? </w:t>
      </w:r>
      <w:r>
        <w:rPr>
          <w:i/>
          <w:iCs/>
        </w:rPr>
        <w:t>Clinical Infectious Diseases</w:t>
      </w:r>
      <w:r>
        <w:t xml:space="preserve">, </w:t>
      </w:r>
      <w:r>
        <w:rPr>
          <w:i/>
          <w:iCs/>
        </w:rPr>
        <w:t>69</w:t>
      </w:r>
      <w:r>
        <w:t>(9), 1506–1508. https://doi.org/10.1093/cid/ciy1136</w:t>
      </w:r>
    </w:p>
    <w:p w14:paraId="04826DC3" w14:textId="77777777" w:rsidR="002F13DA" w:rsidRDefault="00000000">
      <w:pPr>
        <w:pStyle w:val="Bibliography"/>
      </w:pPr>
      <w:r>
        <w:t xml:space="preserve">Seitz, R. (2016). Human Immunodeficiency Virus (HIV). </w:t>
      </w:r>
      <w:r>
        <w:rPr>
          <w:i/>
          <w:iCs/>
        </w:rPr>
        <w:t>Transfusion Medicine and Hemotherapy</w:t>
      </w:r>
      <w:r>
        <w:t xml:space="preserve">, </w:t>
      </w:r>
      <w:r>
        <w:rPr>
          <w:i/>
          <w:iCs/>
        </w:rPr>
        <w:t>43</w:t>
      </w:r>
      <w:r>
        <w:t>(3), 203–222. https://doi.org/10.1159/000445852</w:t>
      </w:r>
    </w:p>
    <w:p w14:paraId="1AB987CA" w14:textId="77777777" w:rsidR="002F13DA" w:rsidRDefault="00000000">
      <w:pPr>
        <w:pStyle w:val="Bibliography"/>
      </w:pPr>
      <w:r>
        <w:lastRenderedPageBreak/>
        <w:t xml:space="preserve">Shafer, R., &amp; Schapiro, J. (2009, April 1). HIV-1 drug resistance mutations: an updated framework for the second decade of HAART. </w:t>
      </w:r>
      <w:r>
        <w:rPr>
          <w:i/>
          <w:iCs/>
        </w:rPr>
        <w:t>AIDS Rev</w:t>
      </w:r>
      <w:r>
        <w:t xml:space="preserve">, </w:t>
      </w:r>
      <w:r>
        <w:rPr>
          <w:i/>
          <w:iCs/>
        </w:rPr>
        <w:t>10</w:t>
      </w:r>
      <w:r>
        <w:t>(67–84).</w:t>
      </w:r>
    </w:p>
    <w:p w14:paraId="5A9B21D4" w14:textId="77777777" w:rsidR="002F13DA" w:rsidRDefault="00000000">
      <w:pPr>
        <w:pStyle w:val="Bibliography"/>
      </w:pPr>
      <w:r>
        <w:t xml:space="preserve">Siegel, K., &amp; Lekas, H. M. (2002). AIDS as a chronic illness: psychosocial implications. </w:t>
      </w:r>
      <w:r>
        <w:rPr>
          <w:i/>
          <w:iCs/>
        </w:rPr>
        <w:t>AIDS</w:t>
      </w:r>
      <w:r>
        <w:t xml:space="preserve">, </w:t>
      </w:r>
      <w:r>
        <w:rPr>
          <w:i/>
          <w:iCs/>
        </w:rPr>
        <w:t>16</w:t>
      </w:r>
      <w:r>
        <w:t>, S69–S76. https://doi.org/10.1097/00002030-200216004-00010</w:t>
      </w:r>
    </w:p>
    <w:p w14:paraId="0C6DACDE" w14:textId="77777777" w:rsidR="002F13DA" w:rsidRDefault="00000000">
      <w:pPr>
        <w:pStyle w:val="Bibliography"/>
      </w:pPr>
      <w:r>
        <w:rPr>
          <w:i/>
          <w:iCs/>
        </w:rPr>
        <w:t>The Stages of HIV Infection | NIH</w:t>
      </w:r>
      <w:r>
        <w:t>. (2020, August 20). Retrieved October 16, 2022, from https://hivinfo.nih.gov/understanding-hiv/fact-sheets/stages-hiv-infection</w:t>
      </w:r>
    </w:p>
    <w:p w14:paraId="668D74DF" w14:textId="77777777" w:rsidR="002F13DA" w:rsidRDefault="00000000">
      <w:pPr>
        <w:pStyle w:val="Bibliography"/>
      </w:pPr>
      <w:r>
        <w:t xml:space="preserve">Volberding, P. A., &amp; Deeks, S. G. (2010, July). Antiretroviral therapy and management of HIV infection. </w:t>
      </w:r>
      <w:r>
        <w:rPr>
          <w:i/>
          <w:iCs/>
        </w:rPr>
        <w:t>The Lancet</w:t>
      </w:r>
      <w:r>
        <w:t xml:space="preserve">, </w:t>
      </w:r>
      <w:r>
        <w:rPr>
          <w:i/>
          <w:iCs/>
        </w:rPr>
        <w:t>376</w:t>
      </w:r>
      <w:r>
        <w:t>(9734), 49–62. https://doi.org/10.1016/s0140-6736(10)60676-9</w:t>
      </w:r>
    </w:p>
    <w:p w14:paraId="5BC98001" w14:textId="77777777" w:rsidR="002F13DA" w:rsidRDefault="00000000">
      <w:pPr>
        <w:pStyle w:val="Bibliography"/>
      </w:pPr>
      <w:r>
        <w:t xml:space="preserve">Zandman-Goddard, G., &amp; Shoenfeld, Y. (2002, December). HIV and autoimmunity. </w:t>
      </w:r>
      <w:r>
        <w:rPr>
          <w:i/>
          <w:iCs/>
        </w:rPr>
        <w:t>Autoimmunity Reviews</w:t>
      </w:r>
      <w:r>
        <w:t xml:space="preserve">, </w:t>
      </w:r>
      <w:r>
        <w:rPr>
          <w:i/>
          <w:iCs/>
        </w:rPr>
        <w:t>1</w:t>
      </w:r>
      <w:r>
        <w:t>(6), 329–337. https://doi.org/10.1016/s1568-9972(02)00086-1</w:t>
      </w:r>
    </w:p>
    <w:sectPr w:rsidR="002F13D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AAB9" w14:textId="77777777" w:rsidR="007A6094" w:rsidRDefault="007A6094">
      <w:pPr>
        <w:spacing w:line="240" w:lineRule="auto"/>
      </w:pPr>
      <w:r>
        <w:separator/>
      </w:r>
    </w:p>
  </w:endnote>
  <w:endnote w:type="continuationSeparator" w:id="0">
    <w:p w14:paraId="386208DC" w14:textId="77777777" w:rsidR="007A6094" w:rsidRDefault="007A6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5EFE4" w14:textId="77777777" w:rsidR="00FD027A" w:rsidRDefault="000A150F">
    <w:pPr>
      <w:jc w:val="right"/>
    </w:pPr>
    <w:r>
      <w:rPr>
        <w:noProof/>
      </w:rPr>
      <w:drawing>
        <wp:inline distT="0" distB="0" distL="0" distR="0" wp14:anchorId="535FB4DF" wp14:editId="19AA9E97">
          <wp:extent cx="1571625" cy="342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2B49D" w14:textId="77777777" w:rsidR="007A6094" w:rsidRDefault="007A6094">
      <w:pPr>
        <w:spacing w:line="240" w:lineRule="auto"/>
      </w:pPr>
      <w:r>
        <w:separator/>
      </w:r>
    </w:p>
  </w:footnote>
  <w:footnote w:type="continuationSeparator" w:id="0">
    <w:p w14:paraId="1140B422" w14:textId="77777777" w:rsidR="007A6094" w:rsidRDefault="007A60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C607" w14:textId="77777777" w:rsidR="00FD027A" w:rsidRDefault="000A150F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5112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0AF"/>
    <w:multiLevelType w:val="hybridMultilevel"/>
    <w:tmpl w:val="D69A8A36"/>
    <w:lvl w:ilvl="0" w:tplc="D7AA5822">
      <w:start w:val="1"/>
      <w:numFmt w:val="bullet"/>
      <w:pStyle w:val="ListBullet"/>
      <w:lvlText w:val="●"/>
      <w:lvlJc w:val="left"/>
      <w:pPr>
        <w:ind w:left="720" w:hanging="360"/>
      </w:pPr>
    </w:lvl>
    <w:lvl w:ilvl="1" w:tplc="71F64D74">
      <w:start w:val="1"/>
      <w:numFmt w:val="bullet"/>
      <w:lvlText w:val="○"/>
      <w:lvlJc w:val="left"/>
      <w:pPr>
        <w:ind w:left="1440" w:hanging="360"/>
      </w:pPr>
    </w:lvl>
    <w:lvl w:ilvl="2" w:tplc="BA20E348">
      <w:start w:val="1"/>
      <w:numFmt w:val="bullet"/>
      <w:lvlText w:val="■"/>
      <w:lvlJc w:val="left"/>
      <w:pPr>
        <w:ind w:left="2160" w:hanging="360"/>
      </w:pPr>
    </w:lvl>
    <w:lvl w:ilvl="3" w:tplc="E5B295A6">
      <w:start w:val="1"/>
      <w:numFmt w:val="bullet"/>
      <w:lvlText w:val="●"/>
      <w:lvlJc w:val="left"/>
      <w:pPr>
        <w:ind w:left="2880" w:hanging="360"/>
      </w:pPr>
    </w:lvl>
    <w:lvl w:ilvl="4" w:tplc="AC20E2A0">
      <w:start w:val="1"/>
      <w:numFmt w:val="bullet"/>
      <w:lvlText w:val="○"/>
      <w:lvlJc w:val="left"/>
      <w:pPr>
        <w:ind w:left="3600" w:hanging="360"/>
      </w:pPr>
    </w:lvl>
    <w:lvl w:ilvl="5" w:tplc="BB3A204E">
      <w:start w:val="1"/>
      <w:numFmt w:val="bullet"/>
      <w:lvlText w:val="■"/>
      <w:lvlJc w:val="left"/>
      <w:pPr>
        <w:ind w:left="4320" w:hanging="360"/>
      </w:pPr>
    </w:lvl>
    <w:lvl w:ilvl="6" w:tplc="A510C2F2">
      <w:start w:val="1"/>
      <w:numFmt w:val="bullet"/>
      <w:lvlText w:val="●"/>
      <w:lvlJc w:val="left"/>
      <w:pPr>
        <w:ind w:left="5040" w:hanging="360"/>
      </w:pPr>
    </w:lvl>
    <w:lvl w:ilvl="7" w:tplc="36D02FBC">
      <w:start w:val="1"/>
      <w:numFmt w:val="bullet"/>
      <w:lvlText w:val="●"/>
      <w:lvlJc w:val="left"/>
      <w:pPr>
        <w:ind w:left="5760" w:hanging="360"/>
      </w:pPr>
    </w:lvl>
    <w:lvl w:ilvl="8" w:tplc="93D01F50">
      <w:start w:val="1"/>
      <w:numFmt w:val="bullet"/>
      <w:lvlText w:val="●"/>
      <w:lvlJc w:val="left"/>
      <w:pPr>
        <w:ind w:left="6480" w:hanging="360"/>
      </w:pPr>
    </w:lvl>
  </w:abstractNum>
  <w:num w:numId="1" w16cid:durableId="19535921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7A"/>
    <w:rsid w:val="000A150F"/>
    <w:rsid w:val="00287DD9"/>
    <w:rsid w:val="002F13DA"/>
    <w:rsid w:val="00351121"/>
    <w:rsid w:val="00765F55"/>
    <w:rsid w:val="00781B41"/>
    <w:rsid w:val="007A6094"/>
    <w:rsid w:val="00CD3A68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36705"/>
  <w15:docId w15:val="{3D28F9DE-1CC2-3549-AAD2-DBD64B8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Nagendra Anirudh Dhanikonda</cp:lastModifiedBy>
  <cp:revision>4</cp:revision>
  <dcterms:created xsi:type="dcterms:W3CDTF">2022-05-31T12:50:00Z</dcterms:created>
  <dcterms:modified xsi:type="dcterms:W3CDTF">2022-10-17T21:10:00Z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2022-10-17T21:10:24Z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3f25545a-29fa-496d-8333-b4af169e930f</vt:lpwstr>
  </property>
  <property fmtid="{D5CDD505-2E9C-101B-9397-08002B2CF9AE}" pid="8" name="MSIP_Label_8b49abc7-59be-4d4c-a462-decca6d4dac9_ContentBits">
    <vt:lpwstr>0</vt:lpwstr>
  </property>
</Properties>
</file>