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Appendix B: Summary of Survey Responses</w:t>
      </w:r>
    </w:p>
    <w:p>
      <w:r>
        <w:t>The table below summarizes the key findings and response patterns collected during the community engagement study on digital awareness and accessibility among Persons with Disabilities. The data provides an overview of participants’ access to digital technology, its use in daily life, major barriers, and perceptions regarding digital accessibility.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Survey Area</w:t>
            </w:r>
          </w:p>
        </w:tc>
        <w:tc>
          <w:tcPr>
            <w:tcW w:type="dxa" w:w="2880"/>
          </w:tcPr>
          <w:p>
            <w:r>
              <w:rPr>
                <w:b/>
                <w:sz w:val="20"/>
              </w:rPr>
              <w:t>Response / Finding</w:t>
            </w:r>
          </w:p>
        </w:tc>
        <w:tc>
          <w:tcPr>
            <w:tcW w:type="dxa" w:w="2880"/>
          </w:tcPr>
          <w:p>
            <w:r>
              <w:rPr>
                <w:b/>
                <w:sz w:val="20"/>
              </w:rPr>
              <w:t>Number / Percentage</w:t>
            </w:r>
          </w:p>
        </w:tc>
      </w:tr>
      <w:tr>
        <w:tc>
          <w:tcPr>
            <w:tcW w:type="dxa" w:w="2880"/>
            <w:vAlign w:val="center"/>
          </w:tcPr>
          <w:p>
            <w:r>
              <w:rPr>
                <w:sz w:val="18"/>
              </w:rPr>
              <w:t>Overall Digital Technology Access</w:t>
            </w:r>
          </w:p>
        </w:tc>
        <w:tc>
          <w:tcPr>
            <w:tcW w:type="dxa" w:w="2880"/>
            <w:vAlign w:val="center"/>
          </w:tcPr>
          <w:p>
            <w:r>
              <w:rPr>
                <w:sz w:val="18"/>
              </w:rPr>
              <w:t>Basic users – use mobile technology for essential needs</w:t>
            </w:r>
          </w:p>
        </w:tc>
        <w:tc>
          <w:tcPr>
            <w:tcW w:type="dxa" w:w="2880"/>
            <w:vAlign w:val="center"/>
          </w:tcPr>
          <w:p>
            <w:r>
              <w:rPr>
                <w:sz w:val="18"/>
              </w:rPr>
              <w:t>18 (60%)</w:t>
            </w:r>
          </w:p>
        </w:tc>
      </w:tr>
      <w:tr>
        <w:tc>
          <w:tcPr>
            <w:tcW w:type="dxa" w:w="2880"/>
            <w:vAlign w:val="center"/>
          </w:tcPr>
          <w:p>
            <w:r>
              <w:rPr>
                <w:sz w:val="18"/>
              </w:rPr>
            </w:r>
          </w:p>
        </w:tc>
        <w:tc>
          <w:tcPr>
            <w:tcW w:type="dxa" w:w="2880"/>
            <w:vAlign w:val="center"/>
          </w:tcPr>
          <w:p>
            <w:r>
              <w:rPr>
                <w:sz w:val="18"/>
              </w:rPr>
              <w:t>High technology awareness</w:t>
            </w:r>
          </w:p>
        </w:tc>
        <w:tc>
          <w:tcPr>
            <w:tcW w:type="dxa" w:w="2880"/>
            <w:vAlign w:val="center"/>
          </w:tcPr>
          <w:p>
            <w:r>
              <w:rPr>
                <w:sz w:val="18"/>
              </w:rPr>
              <w:t>6 (20%)</w:t>
            </w:r>
          </w:p>
        </w:tc>
      </w:tr>
      <w:tr>
        <w:tc>
          <w:tcPr>
            <w:tcW w:type="dxa" w:w="2880"/>
            <w:vAlign w:val="center"/>
          </w:tcPr>
          <w:p>
            <w:r>
              <w:rPr>
                <w:sz w:val="18"/>
              </w:rPr>
            </w:r>
          </w:p>
        </w:tc>
        <w:tc>
          <w:tcPr>
            <w:tcW w:type="dxa" w:w="2880"/>
            <w:vAlign w:val="center"/>
          </w:tcPr>
          <w:p>
            <w:r>
              <w:rPr>
                <w:sz w:val="18"/>
              </w:rPr>
              <w:t>Limited access / affordability challenges</w:t>
            </w:r>
          </w:p>
        </w:tc>
        <w:tc>
          <w:tcPr>
            <w:tcW w:type="dxa" w:w="2880"/>
            <w:vAlign w:val="center"/>
          </w:tcPr>
          <w:p>
            <w:r>
              <w:rPr>
                <w:sz w:val="18"/>
              </w:rPr>
              <w:t>6 (20%)</w:t>
            </w:r>
          </w:p>
        </w:tc>
      </w:tr>
      <w:tr>
        <w:tc>
          <w:tcPr>
            <w:tcW w:type="dxa" w:w="2880"/>
            <w:vAlign w:val="center"/>
          </w:tcPr>
          <w:p>
            <w:r>
              <w:rPr>
                <w:sz w:val="18"/>
              </w:rPr>
              <w:t>Digital Technology Use</w:t>
            </w:r>
          </w:p>
        </w:tc>
        <w:tc>
          <w:tcPr>
            <w:tcW w:type="dxa" w:w="2880"/>
            <w:vAlign w:val="center"/>
          </w:tcPr>
          <w:p>
            <w:r>
              <w:rPr>
                <w:sz w:val="18"/>
              </w:rPr>
              <w:t>Entertainment</w:t>
            </w:r>
          </w:p>
        </w:tc>
        <w:tc>
          <w:tcPr>
            <w:tcW w:type="dxa" w:w="2880"/>
            <w:vAlign w:val="center"/>
          </w:tcPr>
          <w:p>
            <w:r>
              <w:rPr>
                <w:sz w:val="18"/>
              </w:rPr>
              <w:t>83%*</w:t>
            </w:r>
          </w:p>
        </w:tc>
      </w:tr>
      <w:tr>
        <w:tc>
          <w:tcPr>
            <w:tcW w:type="dxa" w:w="2880"/>
            <w:vAlign w:val="center"/>
          </w:tcPr>
          <w:p>
            <w:r>
              <w:rPr>
                <w:sz w:val="18"/>
              </w:rPr>
            </w:r>
          </w:p>
        </w:tc>
        <w:tc>
          <w:tcPr>
            <w:tcW w:type="dxa" w:w="2880"/>
            <w:vAlign w:val="center"/>
          </w:tcPr>
          <w:p>
            <w:r>
              <w:rPr>
                <w:sz w:val="18"/>
              </w:rPr>
              <w:t>Communication</w:t>
            </w:r>
          </w:p>
        </w:tc>
        <w:tc>
          <w:tcPr>
            <w:tcW w:type="dxa" w:w="2880"/>
            <w:vAlign w:val="center"/>
          </w:tcPr>
          <w:p>
            <w:r>
              <w:rPr>
                <w:sz w:val="18"/>
              </w:rPr>
              <w:t>75%*</w:t>
            </w:r>
          </w:p>
        </w:tc>
      </w:tr>
      <w:tr>
        <w:tc>
          <w:tcPr>
            <w:tcW w:type="dxa" w:w="2880"/>
            <w:vAlign w:val="center"/>
          </w:tcPr>
          <w:p>
            <w:r>
              <w:rPr>
                <w:sz w:val="18"/>
              </w:rPr>
            </w:r>
          </w:p>
        </w:tc>
        <w:tc>
          <w:tcPr>
            <w:tcW w:type="dxa" w:w="2880"/>
            <w:vAlign w:val="center"/>
          </w:tcPr>
          <w:p>
            <w:r>
              <w:rPr>
                <w:sz w:val="18"/>
              </w:rPr>
              <w:t>Social media</w:t>
            </w:r>
          </w:p>
        </w:tc>
        <w:tc>
          <w:tcPr>
            <w:tcW w:type="dxa" w:w="2880"/>
            <w:vAlign w:val="center"/>
          </w:tcPr>
          <w:p>
            <w:r>
              <w:rPr>
                <w:sz w:val="18"/>
              </w:rPr>
              <w:t>74%*</w:t>
            </w:r>
          </w:p>
        </w:tc>
      </w:tr>
      <w:tr>
        <w:tc>
          <w:tcPr>
            <w:tcW w:type="dxa" w:w="2880"/>
            <w:vAlign w:val="center"/>
          </w:tcPr>
          <w:p>
            <w:r>
              <w:rPr>
                <w:sz w:val="18"/>
              </w:rPr>
            </w:r>
          </w:p>
        </w:tc>
        <w:tc>
          <w:tcPr>
            <w:tcW w:type="dxa" w:w="2880"/>
            <w:vAlign w:val="center"/>
          </w:tcPr>
          <w:p>
            <w:r>
              <w:rPr>
                <w:sz w:val="18"/>
              </w:rPr>
              <w:t>UPI / Digital payments</w:t>
            </w:r>
          </w:p>
        </w:tc>
        <w:tc>
          <w:tcPr>
            <w:tcW w:type="dxa" w:w="2880"/>
            <w:vAlign w:val="center"/>
          </w:tcPr>
          <w:p>
            <w:r>
              <w:rPr>
                <w:sz w:val="18"/>
              </w:rPr>
              <w:t>Approx. 70%*</w:t>
            </w:r>
          </w:p>
        </w:tc>
      </w:tr>
      <w:tr>
        <w:tc>
          <w:tcPr>
            <w:tcW w:type="dxa" w:w="2880"/>
            <w:vAlign w:val="center"/>
          </w:tcPr>
          <w:p>
            <w:r>
              <w:rPr>
                <w:sz w:val="18"/>
              </w:rPr>
            </w:r>
          </w:p>
        </w:tc>
        <w:tc>
          <w:tcPr>
            <w:tcW w:type="dxa" w:w="2880"/>
            <w:vAlign w:val="center"/>
          </w:tcPr>
          <w:p>
            <w:r>
              <w:rPr>
                <w:sz w:val="18"/>
              </w:rPr>
              <w:t>Online services / shopping</w:t>
            </w:r>
          </w:p>
        </w:tc>
        <w:tc>
          <w:tcPr>
            <w:tcW w:type="dxa" w:w="2880"/>
            <w:vAlign w:val="center"/>
          </w:tcPr>
          <w:p>
            <w:r>
              <w:rPr>
                <w:sz w:val="18"/>
              </w:rPr>
              <w:t>54%*</w:t>
            </w:r>
          </w:p>
        </w:tc>
      </w:tr>
      <w:tr>
        <w:tc>
          <w:tcPr>
            <w:tcW w:type="dxa" w:w="2880"/>
            <w:vAlign w:val="center"/>
          </w:tcPr>
          <w:p>
            <w:r>
              <w:rPr>
                <w:sz w:val="18"/>
              </w:rPr>
            </w:r>
          </w:p>
        </w:tc>
        <w:tc>
          <w:tcPr>
            <w:tcW w:type="dxa" w:w="2880"/>
            <w:vAlign w:val="center"/>
          </w:tcPr>
          <w:p>
            <w:r>
              <w:rPr>
                <w:sz w:val="18"/>
              </w:rPr>
              <w:t>Online learning</w:t>
            </w:r>
          </w:p>
        </w:tc>
        <w:tc>
          <w:tcPr>
            <w:tcW w:type="dxa" w:w="2880"/>
            <w:vAlign w:val="center"/>
          </w:tcPr>
          <w:p>
            <w:r>
              <w:rPr>
                <w:sz w:val="18"/>
              </w:rPr>
              <w:t>3%*</w:t>
            </w:r>
          </w:p>
        </w:tc>
      </w:tr>
      <w:tr>
        <w:tc>
          <w:tcPr>
            <w:tcW w:type="dxa" w:w="2880"/>
            <w:vAlign w:val="center"/>
          </w:tcPr>
          <w:p>
            <w:r>
              <w:rPr>
                <w:sz w:val="18"/>
              </w:rPr>
              <w:t>Major Digital Barriers</w:t>
            </w:r>
          </w:p>
        </w:tc>
        <w:tc>
          <w:tcPr>
            <w:tcW w:type="dxa" w:w="2880"/>
            <w:vAlign w:val="center"/>
          </w:tcPr>
          <w:p>
            <w:r>
              <w:rPr>
                <w:sz w:val="18"/>
              </w:rPr>
              <w:t>Lack of training / assistance</w:t>
            </w:r>
          </w:p>
        </w:tc>
        <w:tc>
          <w:tcPr>
            <w:tcW w:type="dxa" w:w="2880"/>
            <w:vAlign w:val="center"/>
          </w:tcPr>
          <w:p>
            <w:r>
              <w:rPr>
                <w:sz w:val="18"/>
              </w:rPr>
              <w:t>70%+*</w:t>
            </w:r>
          </w:p>
        </w:tc>
      </w:tr>
      <w:tr>
        <w:tc>
          <w:tcPr>
            <w:tcW w:type="dxa" w:w="2880"/>
            <w:vAlign w:val="center"/>
          </w:tcPr>
          <w:p>
            <w:r>
              <w:rPr>
                <w:sz w:val="18"/>
              </w:rPr>
            </w:r>
          </w:p>
        </w:tc>
        <w:tc>
          <w:tcPr>
            <w:tcW w:type="dxa" w:w="2880"/>
            <w:vAlign w:val="center"/>
          </w:tcPr>
          <w:p>
            <w:r>
              <w:rPr>
                <w:sz w:val="18"/>
              </w:rPr>
              <w:t>Difficulty using apps / websites</w:t>
            </w:r>
          </w:p>
        </w:tc>
        <w:tc>
          <w:tcPr>
            <w:tcW w:type="dxa" w:w="2880"/>
            <w:vAlign w:val="center"/>
          </w:tcPr>
          <w:p>
            <w:r>
              <w:rPr>
                <w:sz w:val="18"/>
              </w:rPr>
              <w:t>60%+*</w:t>
            </w:r>
          </w:p>
        </w:tc>
      </w:tr>
      <w:tr>
        <w:tc>
          <w:tcPr>
            <w:tcW w:type="dxa" w:w="2880"/>
            <w:vAlign w:val="center"/>
          </w:tcPr>
          <w:p>
            <w:r>
              <w:rPr>
                <w:sz w:val="18"/>
              </w:rPr>
            </w:r>
          </w:p>
        </w:tc>
        <w:tc>
          <w:tcPr>
            <w:tcW w:type="dxa" w:w="2880"/>
            <w:vAlign w:val="center"/>
          </w:tcPr>
          <w:p>
            <w:r>
              <w:rPr>
                <w:sz w:val="18"/>
              </w:rPr>
              <w:t>Limited digital knowledge</w:t>
            </w:r>
          </w:p>
        </w:tc>
        <w:tc>
          <w:tcPr>
            <w:tcW w:type="dxa" w:w="2880"/>
            <w:vAlign w:val="center"/>
          </w:tcPr>
          <w:p>
            <w:r>
              <w:rPr>
                <w:sz w:val="18"/>
              </w:rPr>
              <w:t>40–50%*</w:t>
            </w:r>
          </w:p>
        </w:tc>
      </w:tr>
      <w:tr>
        <w:tc>
          <w:tcPr>
            <w:tcW w:type="dxa" w:w="2880"/>
            <w:vAlign w:val="center"/>
          </w:tcPr>
          <w:p>
            <w:r>
              <w:rPr>
                <w:sz w:val="18"/>
              </w:rPr>
            </w:r>
          </w:p>
        </w:tc>
        <w:tc>
          <w:tcPr>
            <w:tcW w:type="dxa" w:w="2880"/>
            <w:vAlign w:val="center"/>
          </w:tcPr>
          <w:p>
            <w:r>
              <w:rPr>
                <w:sz w:val="18"/>
              </w:rPr>
              <w:t>Lack of accessibility features</w:t>
            </w:r>
          </w:p>
        </w:tc>
        <w:tc>
          <w:tcPr>
            <w:tcW w:type="dxa" w:w="2880"/>
            <w:vAlign w:val="center"/>
          </w:tcPr>
          <w:p>
            <w:r>
              <w:rPr>
                <w:sz w:val="18"/>
              </w:rPr>
              <w:t>Approx. 30% of mainstream apps meet standards*</w:t>
            </w:r>
          </w:p>
        </w:tc>
      </w:tr>
      <w:tr>
        <w:tc>
          <w:tcPr>
            <w:tcW w:type="dxa" w:w="2880"/>
            <w:vAlign w:val="center"/>
          </w:tcPr>
          <w:p>
            <w:r>
              <w:rPr>
                <w:sz w:val="18"/>
              </w:rPr>
              <w:t>Perception of Digital Accessibility</w:t>
            </w:r>
          </w:p>
        </w:tc>
        <w:tc>
          <w:tcPr>
            <w:tcW w:type="dxa" w:w="2880"/>
            <w:vAlign w:val="center"/>
          </w:tcPr>
          <w:p>
            <w:r>
              <w:rPr>
                <w:sz w:val="18"/>
              </w:rPr>
              <w:t>Accessibility considered important</w:t>
            </w:r>
          </w:p>
        </w:tc>
        <w:tc>
          <w:tcPr>
            <w:tcW w:type="dxa" w:w="2880"/>
            <w:vAlign w:val="center"/>
          </w:tcPr>
          <w:p>
            <w:r>
              <w:rPr>
                <w:sz w:val="18"/>
              </w:rPr>
              <w:t>80–85%*</w:t>
            </w:r>
          </w:p>
        </w:tc>
      </w:tr>
      <w:tr>
        <w:tc>
          <w:tcPr>
            <w:tcW w:type="dxa" w:w="2880"/>
            <w:vAlign w:val="center"/>
          </w:tcPr>
          <w:p>
            <w:r>
              <w:rPr>
                <w:sz w:val="18"/>
              </w:rPr>
            </w:r>
          </w:p>
        </w:tc>
        <w:tc>
          <w:tcPr>
            <w:tcW w:type="dxa" w:w="2880"/>
            <w:vAlign w:val="center"/>
          </w:tcPr>
          <w:p>
            <w:r>
              <w:rPr>
                <w:sz w:val="18"/>
              </w:rPr>
              <w:t>Websites and apps should include accessibility features</w:t>
            </w:r>
          </w:p>
        </w:tc>
        <w:tc>
          <w:tcPr>
            <w:tcW w:type="dxa" w:w="2880"/>
            <w:vAlign w:val="center"/>
          </w:tcPr>
          <w:p>
            <w:r>
              <w:rPr>
                <w:sz w:val="18"/>
              </w:rPr>
              <w:t>75–80%*</w:t>
            </w:r>
          </w:p>
        </w:tc>
      </w:tr>
      <w:tr>
        <w:tc>
          <w:tcPr>
            <w:tcW w:type="dxa" w:w="2880"/>
            <w:vAlign w:val="center"/>
          </w:tcPr>
          <w:p>
            <w:r>
              <w:rPr>
                <w:sz w:val="18"/>
              </w:rPr>
            </w:r>
          </w:p>
        </w:tc>
        <w:tc>
          <w:tcPr>
            <w:tcW w:type="dxa" w:w="2880"/>
            <w:vAlign w:val="center"/>
          </w:tcPr>
          <w:p>
            <w:r>
              <w:rPr>
                <w:sz w:val="18"/>
              </w:rPr>
              <w:t>Need for digital-skills training</w:t>
            </w:r>
          </w:p>
        </w:tc>
        <w:tc>
          <w:tcPr>
            <w:tcW w:type="dxa" w:w="2880"/>
            <w:vAlign w:val="center"/>
          </w:tcPr>
          <w:p>
            <w:r>
              <w:rPr>
                <w:sz w:val="18"/>
              </w:rPr>
              <w:t>70–75%*</w:t>
            </w:r>
          </w:p>
        </w:tc>
      </w:tr>
      <w:tr>
        <w:tc>
          <w:tcPr>
            <w:tcW w:type="dxa" w:w="2880"/>
            <w:vAlign w:val="center"/>
          </w:tcPr>
          <w:p>
            <w:r>
              <w:rPr>
                <w:sz w:val="18"/>
              </w:rPr>
            </w:r>
          </w:p>
        </w:tc>
        <w:tc>
          <w:tcPr>
            <w:tcW w:type="dxa" w:w="2880"/>
            <w:vAlign w:val="center"/>
          </w:tcPr>
          <w:p>
            <w:r>
              <w:rPr>
                <w:sz w:val="18"/>
              </w:rPr>
              <w:t>Support for affordable and accessible digital services</w:t>
            </w:r>
          </w:p>
        </w:tc>
        <w:tc>
          <w:tcPr>
            <w:tcW w:type="dxa" w:w="2880"/>
            <w:vAlign w:val="center"/>
          </w:tcPr>
          <w:p>
            <w:r>
              <w:rPr>
                <w:sz w:val="18"/>
              </w:rPr>
              <w:t>78–82%*</w:t>
            </w:r>
          </w:p>
        </w:tc>
      </w:tr>
    </w:tbl>
    <w:p>
      <w:r>
        <w:rPr>
          <w:b/>
        </w:rPr>
        <w:t xml:space="preserve">Note: </w:t>
      </w:r>
      <w:r>
        <w:t>Figures marked with (*) represent India-context or approximate reference data used to support the analysis and are not direct counts from the 30-person survey.</w:t>
      </w:r>
    </w:p>
    <w:p>
      <w:r>
        <w:t>This summary table provides supporting evidence for the observations, analysis, and figures presented in Chapter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