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Project Health RAG Methodology</w:t>
      </w:r>
    </w:p>
    <w:p>
      <w:r>
        <w:rPr>
          <w:i/>
        </w:rPr>
        <w:t>Purpose: provide a repeatable, explainable weekly health assessment from imperfect project-plan data.</w:t>
      </w:r>
    </w:p>
    <w:p>
      <w:pPr>
        <w:pStyle w:val="Heading1"/>
      </w:pPr>
      <w:r>
        <w:t>1. Scoring framework</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Signal</w:t>
            </w:r>
          </w:p>
        </w:tc>
        <w:tc>
          <w:tcPr>
            <w:tcW w:type="dxa" w:w="2160"/>
          </w:tcPr>
          <w:p>
            <w:r>
              <w:t>Weight</w:t>
            </w:r>
          </w:p>
        </w:tc>
        <w:tc>
          <w:tcPr>
            <w:tcW w:type="dxa" w:w="2160"/>
          </w:tcPr>
          <w:p>
            <w:r>
              <w:t>Green / Amber / Red thresholds</w:t>
            </w:r>
          </w:p>
        </w:tc>
        <w:tc>
          <w:tcPr>
            <w:tcW w:type="dxa" w:w="2160"/>
          </w:tcPr>
          <w:p>
            <w:r>
              <w:t>Evidence</w:t>
            </w:r>
          </w:p>
        </w:tc>
      </w:tr>
      <w:tr>
        <w:tc>
          <w:tcPr>
            <w:tcW w:type="dxa" w:w="2160"/>
          </w:tcPr>
          <w:p>
            <w:r>
              <w:t>Schedule</w:t>
            </w:r>
          </w:p>
        </w:tc>
        <w:tc>
          <w:tcPr>
            <w:tcW w:type="dxa" w:w="2160"/>
          </w:tcPr>
          <w:p>
            <w:r>
              <w:t>35%</w:t>
            </w:r>
          </w:p>
        </w:tc>
        <w:tc>
          <w:tcPr>
            <w:tcW w:type="dxa" w:w="2160"/>
          </w:tcPr>
          <w:p>
            <w:r>
              <w:t>G: ≤5 days / &lt;5% overdue; A: 6–15 days or 5–15%; R: &gt;15 days, &gt;15%, or repeated critical delay</w:t>
            </w:r>
          </w:p>
        </w:tc>
        <w:tc>
          <w:tcPr>
            <w:tcW w:type="dxa" w:w="2160"/>
          </w:tcPr>
          <w:p>
            <w:r>
              <w:t>Baseline vs forecast, overdue open tasks, variance</w:t>
            </w:r>
          </w:p>
        </w:tc>
      </w:tr>
      <w:tr>
        <w:tc>
          <w:tcPr>
            <w:tcW w:type="dxa" w:w="2160"/>
          </w:tcPr>
          <w:p>
            <w:r>
              <w:t>Milestones</w:t>
            </w:r>
          </w:p>
        </w:tc>
        <w:tc>
          <w:tcPr>
            <w:tcW w:type="dxa" w:w="2160"/>
          </w:tcPr>
          <w:p>
            <w:r>
              <w:t>25%</w:t>
            </w:r>
          </w:p>
        </w:tc>
        <w:tc>
          <w:tcPr>
            <w:tcW w:type="dxa" w:w="2160"/>
          </w:tcPr>
          <w:p>
            <w:r>
              <w:t>G: no critical breach; A: 1–2 threatened; R: ≥3 critical overdue or key milestone missed</w:t>
            </w:r>
          </w:p>
        </w:tc>
        <w:tc>
          <w:tcPr>
            <w:tcW w:type="dxa" w:w="2160"/>
          </w:tcPr>
          <w:p>
            <w:r>
              <w:t>Critical flag, milestone dates, completion</w:t>
            </w:r>
          </w:p>
        </w:tc>
      </w:tr>
      <w:tr>
        <w:tc>
          <w:tcPr>
            <w:tcW w:type="dxa" w:w="2160"/>
          </w:tcPr>
          <w:p>
            <w:r>
              <w:t>Budget</w:t>
            </w:r>
          </w:p>
        </w:tc>
        <w:tc>
          <w:tcPr>
            <w:tcW w:type="dxa" w:w="2160"/>
          </w:tcPr>
          <w:p>
            <w:r>
              <w:t>20%</w:t>
            </w:r>
          </w:p>
        </w:tc>
        <w:tc>
          <w:tcPr>
            <w:tcW w:type="dxa" w:w="2160"/>
          </w:tcPr>
          <w:p>
            <w:r>
              <w:t>G: ≤90% burn vs progress; A: 91–105%; R: &gt;105% or forecast overrun &gt;10%</w:t>
            </w:r>
          </w:p>
        </w:tc>
        <w:tc>
          <w:tcPr>
            <w:tcW w:type="dxa" w:w="2160"/>
          </w:tcPr>
          <w:p>
            <w:r>
              <w:t>Actual, budget, EAC. Missing = Unknown</w:t>
            </w:r>
          </w:p>
        </w:tc>
      </w:tr>
      <w:tr>
        <w:tc>
          <w:tcPr>
            <w:tcW w:type="dxa" w:w="2160"/>
          </w:tcPr>
          <w:p>
            <w:r>
              <w:t>Blockers / dependencies</w:t>
            </w:r>
          </w:p>
        </w:tc>
        <w:tc>
          <w:tcPr>
            <w:tcW w:type="dxa" w:w="2160"/>
          </w:tcPr>
          <w:p>
            <w:r>
              <w:t>10%</w:t>
            </w:r>
          </w:p>
        </w:tc>
        <w:tc>
          <w:tcPr>
            <w:tcW w:type="dxa" w:w="2160"/>
          </w:tcPr>
          <w:p>
            <w:r>
              <w:t>G: none material; A: open but owned; R: critical/unowned or aging &gt;14 days</w:t>
            </w:r>
          </w:p>
        </w:tc>
        <w:tc>
          <w:tcPr>
            <w:tcW w:type="dxa" w:w="2160"/>
          </w:tcPr>
          <w:p>
            <w:r>
              <w:t>Comments, on-hold tasks, dependency text</w:t>
            </w:r>
          </w:p>
        </w:tc>
      </w:tr>
      <w:tr>
        <w:tc>
          <w:tcPr>
            <w:tcW w:type="dxa" w:w="2160"/>
          </w:tcPr>
          <w:p>
            <w:r>
              <w:t>Stakeholder sentiment</w:t>
            </w:r>
          </w:p>
        </w:tc>
        <w:tc>
          <w:tcPr>
            <w:tcW w:type="dxa" w:w="2160"/>
          </w:tcPr>
          <w:p>
            <w:r>
              <w:t>10%</w:t>
            </w:r>
          </w:p>
        </w:tc>
        <w:tc>
          <w:tcPr>
            <w:tcW w:type="dxa" w:w="2160"/>
          </w:tcPr>
          <w:p>
            <w:r>
              <w:t>G: positive; A: mixed/insufficient; R: sustained negative/escalation</w:t>
            </w:r>
          </w:p>
        </w:tc>
        <w:tc>
          <w:tcPr>
            <w:tcW w:type="dxa" w:w="2160"/>
          </w:tcPr>
          <w:p>
            <w:r>
              <w:t>Comments, pulse score, escalations</w:t>
            </w:r>
          </w:p>
        </w:tc>
      </w:tr>
    </w:tbl>
    <w:p>
      <w:pPr>
        <w:pStyle w:val="Heading1"/>
      </w:pPr>
      <w:r>
        <w:t>2. Overall status logic</w:t>
      </w:r>
    </w:p>
    <w:p>
      <w:r>
        <w:t>Risk score = weighted sum of normalized signal risk. Green: 0–27; Amber: 28–54; Red: 55–100. Safety overrides prevent a low average from hiding a critical issue: Red if ≥3 critical overdue tasks, ≥8 severe schedule variances (≤−10 days), a major unresolved blocker, or confirmed budget overrun &gt;10%. Amber if any critical task is overdue or any task is on hold.</w:t>
      </w:r>
    </w:p>
    <w:p>
      <w:pPr>
        <w:pStyle w:val="Heading1"/>
      </w:pPr>
      <w:r>
        <w:t>3. Missing and messy data</w:t>
      </w:r>
    </w:p>
    <w:p>
      <w:r>
        <w:t>The agent normalizes inconsistent status labels, parses date/variance fields defensively, ignores unparseable cells, and reports data completeness and confidence. Missing budget or sentiment is never interpreted as Green. The system returns an assessment with explicit limitations rather than crashing.</w:t>
      </w:r>
    </w:p>
    <w:p>
      <w:pPr>
        <w:pStyle w:val="Heading1"/>
      </w:pPr>
      <w:r>
        <w:t>4. Assumptions and explainability</w:t>
      </w:r>
    </w:p>
    <w:p>
      <w:r>
        <w:t>Reporting date is configurable. A task is overdue when its end date is before the reporting date and status is not Completed. Negative variance is treated as delay. Every result includes the breached thresholds, supporting counts, source-plan status, confidence, and recommended actions. AI may improve wording, but deterministic rules own the RAG decision.</w:t>
      </w:r>
    </w:p>
    <w:sectPr w:rsidR="00FC693F" w:rsidRPr="0006063C" w:rsidSect="00034616">
      <w:pgSz w:w="12240" w:h="15840"/>
      <w:pgMar w:top="648" w:right="1800" w:bottom="64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