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99E39" w14:textId="77777777" w:rsidR="00392E5D" w:rsidRDefault="00A13402">
      <w:pPr>
        <w:spacing w:after="3"/>
        <w:ind w:left="3100" w:right="861" w:firstLine="374"/>
      </w:pPr>
      <w:r>
        <w:rPr>
          <w:b/>
          <w:sz w:val="24"/>
        </w:rPr>
        <w:t>Project Design Phase Proposed Solution Template</w:t>
      </w:r>
    </w:p>
    <w:tbl>
      <w:tblPr>
        <w:tblStyle w:val="TableGrid"/>
        <w:tblW w:w="9030" w:type="dxa"/>
        <w:tblInd w:w="4" w:type="dxa"/>
        <w:tblCellMar>
          <w:top w:w="54" w:type="dxa"/>
          <w:left w:w="110" w:type="dxa"/>
          <w:bottom w:w="0" w:type="dxa"/>
          <w:right w:w="115" w:type="dxa"/>
        </w:tblCellMar>
        <w:tblLook w:val="04A0" w:firstRow="1" w:lastRow="0" w:firstColumn="1" w:lastColumn="0" w:noHBand="0" w:noVBand="1"/>
      </w:tblPr>
      <w:tblGrid>
        <w:gridCol w:w="4694"/>
        <w:gridCol w:w="4336"/>
      </w:tblGrid>
      <w:tr w:rsidR="00392E5D" w14:paraId="7700C383" w14:textId="77777777">
        <w:trPr>
          <w:trHeight w:val="458"/>
        </w:trPr>
        <w:tc>
          <w:tcPr>
            <w:tcW w:w="4694" w:type="dxa"/>
            <w:tcBorders>
              <w:top w:val="single" w:sz="4" w:space="0" w:color="000000"/>
              <w:left w:val="single" w:sz="4" w:space="0" w:color="000000"/>
              <w:bottom w:val="single" w:sz="4" w:space="0" w:color="000000"/>
              <w:right w:val="single" w:sz="4" w:space="0" w:color="000000"/>
            </w:tcBorders>
          </w:tcPr>
          <w:p w14:paraId="4217ABE7" w14:textId="77777777" w:rsidR="00392E5D" w:rsidRDefault="00A13402">
            <w:pPr>
              <w:spacing w:after="0"/>
            </w:pPr>
            <w:r>
              <w:t>Date</w:t>
            </w:r>
          </w:p>
        </w:tc>
        <w:tc>
          <w:tcPr>
            <w:tcW w:w="4336" w:type="dxa"/>
            <w:tcBorders>
              <w:top w:val="single" w:sz="4" w:space="0" w:color="000000"/>
              <w:left w:val="single" w:sz="4" w:space="0" w:color="000000"/>
              <w:bottom w:val="single" w:sz="4" w:space="0" w:color="000000"/>
              <w:right w:val="single" w:sz="4" w:space="0" w:color="000000"/>
            </w:tcBorders>
          </w:tcPr>
          <w:p w14:paraId="212A836D" w14:textId="77777777" w:rsidR="00392E5D" w:rsidRDefault="00A13402">
            <w:pPr>
              <w:spacing w:after="0"/>
            </w:pPr>
            <w:r>
              <w:t>26 June 2025</w:t>
            </w:r>
          </w:p>
        </w:tc>
      </w:tr>
      <w:tr w:rsidR="00392E5D" w14:paraId="11EB43D4" w14:textId="77777777">
        <w:trPr>
          <w:trHeight w:val="460"/>
        </w:trPr>
        <w:tc>
          <w:tcPr>
            <w:tcW w:w="4694" w:type="dxa"/>
            <w:tcBorders>
              <w:top w:val="single" w:sz="4" w:space="0" w:color="000000"/>
              <w:left w:val="single" w:sz="4" w:space="0" w:color="000000"/>
              <w:bottom w:val="single" w:sz="4" w:space="0" w:color="000000"/>
              <w:right w:val="single" w:sz="4" w:space="0" w:color="000000"/>
            </w:tcBorders>
          </w:tcPr>
          <w:p w14:paraId="73596D66" w14:textId="77777777" w:rsidR="00392E5D" w:rsidRDefault="00A13402">
            <w:pPr>
              <w:spacing w:after="0"/>
            </w:pPr>
            <w:r>
              <w:t>Team ID</w:t>
            </w:r>
          </w:p>
        </w:tc>
        <w:tc>
          <w:tcPr>
            <w:tcW w:w="4336" w:type="dxa"/>
            <w:tcBorders>
              <w:top w:val="single" w:sz="4" w:space="0" w:color="000000"/>
              <w:left w:val="single" w:sz="4" w:space="0" w:color="000000"/>
              <w:bottom w:val="single" w:sz="4" w:space="0" w:color="000000"/>
              <w:right w:val="single" w:sz="4" w:space="0" w:color="000000"/>
            </w:tcBorders>
          </w:tcPr>
          <w:p w14:paraId="48C6E926" w14:textId="4FD13014" w:rsidR="00392E5D" w:rsidRDefault="00A13402">
            <w:pPr>
              <w:spacing w:after="0"/>
            </w:pPr>
            <w:r>
              <w:t>LTVIP2025TMI</w:t>
            </w:r>
            <w:r>
              <w:t>D39268</w:t>
            </w:r>
          </w:p>
        </w:tc>
      </w:tr>
      <w:tr w:rsidR="00392E5D" w14:paraId="61E0C6DE" w14:textId="77777777">
        <w:trPr>
          <w:trHeight w:val="748"/>
        </w:trPr>
        <w:tc>
          <w:tcPr>
            <w:tcW w:w="4694" w:type="dxa"/>
            <w:tcBorders>
              <w:top w:val="single" w:sz="4" w:space="0" w:color="000000"/>
              <w:left w:val="single" w:sz="4" w:space="0" w:color="000000"/>
              <w:bottom w:val="single" w:sz="4" w:space="0" w:color="000000"/>
              <w:right w:val="single" w:sz="4" w:space="0" w:color="000000"/>
            </w:tcBorders>
          </w:tcPr>
          <w:p w14:paraId="0995DA82" w14:textId="77777777" w:rsidR="00392E5D" w:rsidRDefault="00A13402">
            <w:pPr>
              <w:spacing w:after="0"/>
            </w:pPr>
            <w:r>
              <w:t>Project Name</w:t>
            </w:r>
          </w:p>
        </w:tc>
        <w:tc>
          <w:tcPr>
            <w:tcW w:w="4336" w:type="dxa"/>
            <w:tcBorders>
              <w:top w:val="single" w:sz="4" w:space="0" w:color="000000"/>
              <w:left w:val="single" w:sz="4" w:space="0" w:color="000000"/>
              <w:bottom w:val="single" w:sz="4" w:space="0" w:color="000000"/>
              <w:right w:val="single" w:sz="4" w:space="0" w:color="000000"/>
            </w:tcBorders>
          </w:tcPr>
          <w:p w14:paraId="54EC736F" w14:textId="77777777" w:rsidR="00392E5D" w:rsidRDefault="00A13402">
            <w:pPr>
              <w:spacing w:after="0"/>
            </w:pPr>
            <w:proofErr w:type="spellStart"/>
            <w:r>
              <w:t>Hematovision</w:t>
            </w:r>
            <w:proofErr w:type="spellEnd"/>
            <w:r>
              <w:t xml:space="preserve"> – Advanced Blood Cell </w:t>
            </w:r>
          </w:p>
          <w:p w14:paraId="0E154ABC" w14:textId="77777777" w:rsidR="00392E5D" w:rsidRDefault="00A13402">
            <w:pPr>
              <w:spacing w:after="0"/>
            </w:pPr>
            <w:r>
              <w:t>Classification using Transfer Learning</w:t>
            </w:r>
          </w:p>
        </w:tc>
      </w:tr>
      <w:tr w:rsidR="00392E5D" w14:paraId="356B0242" w14:textId="77777777">
        <w:trPr>
          <w:trHeight w:val="460"/>
        </w:trPr>
        <w:tc>
          <w:tcPr>
            <w:tcW w:w="4694" w:type="dxa"/>
            <w:tcBorders>
              <w:top w:val="single" w:sz="4" w:space="0" w:color="000000"/>
              <w:left w:val="single" w:sz="4" w:space="0" w:color="000000"/>
              <w:bottom w:val="single" w:sz="4" w:space="0" w:color="000000"/>
              <w:right w:val="single" w:sz="4" w:space="0" w:color="000000"/>
            </w:tcBorders>
          </w:tcPr>
          <w:p w14:paraId="073A11D0" w14:textId="77777777" w:rsidR="00392E5D" w:rsidRDefault="00A13402">
            <w:pPr>
              <w:spacing w:after="0"/>
            </w:pPr>
            <w:r>
              <w:t>Maximum Marks</w:t>
            </w:r>
          </w:p>
        </w:tc>
        <w:tc>
          <w:tcPr>
            <w:tcW w:w="4336" w:type="dxa"/>
            <w:tcBorders>
              <w:top w:val="single" w:sz="4" w:space="0" w:color="000000"/>
              <w:left w:val="single" w:sz="4" w:space="0" w:color="000000"/>
              <w:bottom w:val="single" w:sz="4" w:space="0" w:color="000000"/>
              <w:right w:val="single" w:sz="4" w:space="0" w:color="000000"/>
            </w:tcBorders>
          </w:tcPr>
          <w:p w14:paraId="59C9FFE6" w14:textId="77777777" w:rsidR="00392E5D" w:rsidRDefault="00A13402">
            <w:pPr>
              <w:spacing w:after="0"/>
            </w:pPr>
            <w:r>
              <w:t>2 Marks</w:t>
            </w:r>
          </w:p>
        </w:tc>
      </w:tr>
    </w:tbl>
    <w:p w14:paraId="65426070" w14:textId="77777777" w:rsidR="00392E5D" w:rsidRDefault="00A13402">
      <w:r>
        <w:rPr>
          <w:b/>
        </w:rPr>
        <w:t>Proposed Solution Template:</w:t>
      </w:r>
    </w:p>
    <w:p w14:paraId="3E7A86F3" w14:textId="28C628D1" w:rsidR="00392E5D" w:rsidRDefault="00A13402">
      <w:pPr>
        <w:spacing w:after="0"/>
      </w:pPr>
      <w:r>
        <w:t>Project team shall fill the following information in the proposed solution template.</w:t>
      </w:r>
    </w:p>
    <w:tbl>
      <w:tblPr>
        <w:tblStyle w:val="TableGrid"/>
        <w:tblpPr w:vertAnchor="page" w:horzAnchor="page" w:tblpX="1446" w:tblpY="5265"/>
        <w:tblOverlap w:val="never"/>
        <w:tblW w:w="9066" w:type="dxa"/>
        <w:tblInd w:w="0" w:type="dxa"/>
        <w:tblCellMar>
          <w:top w:w="54" w:type="dxa"/>
          <w:left w:w="110" w:type="dxa"/>
          <w:bottom w:w="0" w:type="dxa"/>
          <w:right w:w="115" w:type="dxa"/>
        </w:tblCellMar>
        <w:tblLook w:val="04A0" w:firstRow="1" w:lastRow="0" w:firstColumn="1" w:lastColumn="0" w:noHBand="0" w:noVBand="1"/>
      </w:tblPr>
      <w:tblGrid>
        <w:gridCol w:w="900"/>
        <w:gridCol w:w="3656"/>
        <w:gridCol w:w="4510"/>
      </w:tblGrid>
      <w:tr w:rsidR="00A13402" w14:paraId="72DE1DC3" w14:textId="77777777" w:rsidTr="00CE5EA4">
        <w:trPr>
          <w:trHeight w:val="556"/>
        </w:trPr>
        <w:tc>
          <w:tcPr>
            <w:tcW w:w="900" w:type="dxa"/>
            <w:tcBorders>
              <w:top w:val="single" w:sz="4" w:space="0" w:color="000000"/>
              <w:left w:val="single" w:sz="4" w:space="0" w:color="000000"/>
              <w:bottom w:val="single" w:sz="4" w:space="0" w:color="000000"/>
              <w:right w:val="single" w:sz="4" w:space="0" w:color="000000"/>
            </w:tcBorders>
          </w:tcPr>
          <w:p w14:paraId="58D66B97" w14:textId="77777777" w:rsidR="00A13402" w:rsidRDefault="00A13402" w:rsidP="00CE5EA4">
            <w:pPr>
              <w:spacing w:after="0"/>
            </w:pPr>
            <w:proofErr w:type="spellStart"/>
            <w:r>
              <w:rPr>
                <w:b/>
              </w:rPr>
              <w:t>S.No</w:t>
            </w:r>
            <w:proofErr w:type="spellEnd"/>
            <w:r>
              <w:rPr>
                <w:b/>
              </w:rPr>
              <w:t>.</w:t>
            </w:r>
          </w:p>
        </w:tc>
        <w:tc>
          <w:tcPr>
            <w:tcW w:w="3656" w:type="dxa"/>
            <w:tcBorders>
              <w:top w:val="single" w:sz="4" w:space="0" w:color="000000"/>
              <w:left w:val="single" w:sz="4" w:space="0" w:color="000000"/>
              <w:bottom w:val="single" w:sz="4" w:space="0" w:color="000000"/>
              <w:right w:val="single" w:sz="4" w:space="0" w:color="000000"/>
            </w:tcBorders>
          </w:tcPr>
          <w:p w14:paraId="34EA68AE" w14:textId="77777777" w:rsidR="00A13402" w:rsidRDefault="00A13402" w:rsidP="00CE5EA4">
            <w:pPr>
              <w:spacing w:after="0"/>
            </w:pPr>
            <w:r>
              <w:rPr>
                <w:b/>
              </w:rPr>
              <w:t>Parameter</w:t>
            </w:r>
          </w:p>
        </w:tc>
        <w:tc>
          <w:tcPr>
            <w:tcW w:w="4510" w:type="dxa"/>
            <w:tcBorders>
              <w:top w:val="single" w:sz="4" w:space="0" w:color="000000"/>
              <w:left w:val="single" w:sz="4" w:space="0" w:color="000000"/>
              <w:bottom w:val="single" w:sz="4" w:space="0" w:color="000000"/>
              <w:right w:val="single" w:sz="4" w:space="0" w:color="000000"/>
            </w:tcBorders>
          </w:tcPr>
          <w:p w14:paraId="1FBEB979" w14:textId="77777777" w:rsidR="00A13402" w:rsidRDefault="00A13402" w:rsidP="00CE5EA4">
            <w:pPr>
              <w:spacing w:after="0"/>
            </w:pPr>
            <w:r>
              <w:rPr>
                <w:b/>
              </w:rPr>
              <w:t>Description</w:t>
            </w:r>
          </w:p>
        </w:tc>
      </w:tr>
      <w:tr w:rsidR="00A13402" w14:paraId="59468985" w14:textId="77777777" w:rsidTr="00CE5EA4">
        <w:trPr>
          <w:trHeight w:val="2780"/>
        </w:trPr>
        <w:tc>
          <w:tcPr>
            <w:tcW w:w="900" w:type="dxa"/>
            <w:tcBorders>
              <w:top w:val="single" w:sz="4" w:space="0" w:color="000000"/>
              <w:left w:val="single" w:sz="4" w:space="0" w:color="000000"/>
              <w:bottom w:val="single" w:sz="4" w:space="0" w:color="000000"/>
              <w:right w:val="single" w:sz="4" w:space="0" w:color="000000"/>
            </w:tcBorders>
          </w:tcPr>
          <w:p w14:paraId="4E28B4A1" w14:textId="77777777" w:rsidR="00A13402" w:rsidRDefault="00A13402" w:rsidP="00CE5EA4">
            <w:pPr>
              <w:spacing w:after="0"/>
              <w:ind w:left="59"/>
              <w:jc w:val="center"/>
            </w:pPr>
            <w:r>
              <w:t>1.</w:t>
            </w:r>
          </w:p>
        </w:tc>
        <w:tc>
          <w:tcPr>
            <w:tcW w:w="3656" w:type="dxa"/>
            <w:tcBorders>
              <w:top w:val="single" w:sz="4" w:space="0" w:color="000000"/>
              <w:left w:val="single" w:sz="4" w:space="0" w:color="000000"/>
              <w:bottom w:val="single" w:sz="4" w:space="0" w:color="000000"/>
              <w:right w:val="single" w:sz="4" w:space="0" w:color="000000"/>
            </w:tcBorders>
          </w:tcPr>
          <w:p w14:paraId="0AA668D2" w14:textId="77777777" w:rsidR="00A13402" w:rsidRDefault="00A13402" w:rsidP="00CE5EA4">
            <w:pPr>
              <w:spacing w:after="0"/>
            </w:pPr>
            <w:r>
              <w:rPr>
                <w:color w:val="222222"/>
              </w:rPr>
              <w:t>Problem Statement (Problem to be solved)</w:t>
            </w:r>
          </w:p>
        </w:tc>
        <w:tc>
          <w:tcPr>
            <w:tcW w:w="4510" w:type="dxa"/>
            <w:tcBorders>
              <w:top w:val="single" w:sz="4" w:space="0" w:color="000000"/>
              <w:left w:val="single" w:sz="4" w:space="0" w:color="000000"/>
              <w:bottom w:val="single" w:sz="4" w:space="0" w:color="000000"/>
              <w:right w:val="single" w:sz="4" w:space="0" w:color="000000"/>
            </w:tcBorders>
          </w:tcPr>
          <w:p w14:paraId="2D0FFC15" w14:textId="77777777" w:rsidR="00A13402" w:rsidRDefault="00A13402" w:rsidP="00CE5EA4">
            <w:pPr>
              <w:spacing w:after="0"/>
            </w:pPr>
            <w:r>
              <w:t>Clinical labs, especially in rural and underequipped areas, often face challenges in manually identifying blood cells accurately. This leads to delays, misdiagnosis, and increased workload for skilled pathologists. The lack of automation in blood smear analysis affects patient care. A reliable, automated solution is necessary to assist technicians and improve diagnostic efficiency.</w:t>
            </w:r>
          </w:p>
        </w:tc>
      </w:tr>
      <w:tr w:rsidR="00A13402" w14:paraId="23B3AB14" w14:textId="77777777" w:rsidTr="00CE5EA4">
        <w:trPr>
          <w:trHeight w:val="3068"/>
        </w:trPr>
        <w:tc>
          <w:tcPr>
            <w:tcW w:w="900" w:type="dxa"/>
            <w:tcBorders>
              <w:top w:val="single" w:sz="4" w:space="0" w:color="000000"/>
              <w:left w:val="single" w:sz="4" w:space="0" w:color="000000"/>
              <w:bottom w:val="single" w:sz="4" w:space="0" w:color="000000"/>
              <w:right w:val="single" w:sz="4" w:space="0" w:color="000000"/>
            </w:tcBorders>
          </w:tcPr>
          <w:p w14:paraId="02168FA2" w14:textId="77777777" w:rsidR="00A13402" w:rsidRDefault="00A13402" w:rsidP="00CE5EA4">
            <w:pPr>
              <w:spacing w:after="0"/>
              <w:ind w:left="59"/>
              <w:jc w:val="center"/>
            </w:pPr>
            <w:r>
              <w:t>2.</w:t>
            </w:r>
          </w:p>
        </w:tc>
        <w:tc>
          <w:tcPr>
            <w:tcW w:w="3656" w:type="dxa"/>
            <w:tcBorders>
              <w:top w:val="single" w:sz="4" w:space="0" w:color="000000"/>
              <w:left w:val="single" w:sz="4" w:space="0" w:color="000000"/>
              <w:bottom w:val="single" w:sz="4" w:space="0" w:color="000000"/>
              <w:right w:val="single" w:sz="4" w:space="0" w:color="000000"/>
            </w:tcBorders>
          </w:tcPr>
          <w:p w14:paraId="3690E4F0" w14:textId="77777777" w:rsidR="00A13402" w:rsidRDefault="00A13402" w:rsidP="00CE5EA4">
            <w:pPr>
              <w:spacing w:after="0"/>
            </w:pPr>
            <w:r>
              <w:rPr>
                <w:color w:val="222222"/>
              </w:rPr>
              <w:t>Idea / Solution description</w:t>
            </w:r>
          </w:p>
        </w:tc>
        <w:tc>
          <w:tcPr>
            <w:tcW w:w="4510" w:type="dxa"/>
            <w:tcBorders>
              <w:top w:val="single" w:sz="4" w:space="0" w:color="000000"/>
              <w:left w:val="single" w:sz="4" w:space="0" w:color="000000"/>
              <w:bottom w:val="single" w:sz="4" w:space="0" w:color="000000"/>
              <w:right w:val="single" w:sz="4" w:space="0" w:color="000000"/>
            </w:tcBorders>
          </w:tcPr>
          <w:p w14:paraId="6FAB8FAC" w14:textId="77777777" w:rsidR="00A13402" w:rsidRDefault="00A13402" w:rsidP="00CE5EA4">
            <w:pPr>
              <w:spacing w:after="0"/>
            </w:pPr>
            <w:r>
              <w:t xml:space="preserve">We propose </w:t>
            </w:r>
            <w:proofErr w:type="spellStart"/>
            <w:r>
              <w:rPr>
                <w:b/>
              </w:rPr>
              <w:t>HematVision</w:t>
            </w:r>
            <w:proofErr w:type="spellEnd"/>
            <w:r>
              <w:t>, an AI-powered blood cell classification system using transfer learning. By training on microscopic blood smear images, the model can classify RBCs, WBCs, and platelets accurately. Users can upload images through an interface (e.g., web or mobile), and the system predicts the cell types with high accuracy. This assists pathologists and reduces human error in diagnosis.</w:t>
            </w:r>
          </w:p>
        </w:tc>
      </w:tr>
      <w:tr w:rsidR="00A13402" w14:paraId="562C0189" w14:textId="77777777" w:rsidTr="00A13402">
        <w:trPr>
          <w:trHeight w:val="3622"/>
        </w:trPr>
        <w:tc>
          <w:tcPr>
            <w:tcW w:w="900" w:type="dxa"/>
            <w:tcBorders>
              <w:top w:val="single" w:sz="4" w:space="0" w:color="000000"/>
              <w:left w:val="single" w:sz="4" w:space="0" w:color="000000"/>
              <w:bottom w:val="single" w:sz="4" w:space="0" w:color="000000"/>
              <w:right w:val="single" w:sz="4" w:space="0" w:color="000000"/>
            </w:tcBorders>
          </w:tcPr>
          <w:p w14:paraId="3EB6DFD4" w14:textId="77777777" w:rsidR="00A13402" w:rsidRDefault="00A13402" w:rsidP="00CE5EA4">
            <w:pPr>
              <w:spacing w:after="0"/>
              <w:ind w:left="59"/>
              <w:jc w:val="center"/>
            </w:pPr>
            <w:r>
              <w:lastRenderedPageBreak/>
              <w:t>3.</w:t>
            </w:r>
          </w:p>
        </w:tc>
        <w:tc>
          <w:tcPr>
            <w:tcW w:w="3656" w:type="dxa"/>
            <w:tcBorders>
              <w:top w:val="single" w:sz="4" w:space="0" w:color="000000"/>
              <w:left w:val="single" w:sz="4" w:space="0" w:color="000000"/>
              <w:bottom w:val="single" w:sz="4" w:space="0" w:color="000000"/>
              <w:right w:val="single" w:sz="4" w:space="0" w:color="000000"/>
            </w:tcBorders>
          </w:tcPr>
          <w:p w14:paraId="08B59F63" w14:textId="77777777" w:rsidR="00A13402" w:rsidRDefault="00A13402" w:rsidP="00CE5EA4">
            <w:pPr>
              <w:spacing w:after="0"/>
            </w:pPr>
            <w:r>
              <w:rPr>
                <w:color w:val="222222"/>
              </w:rPr>
              <w:t xml:space="preserve">Novelty / Uniqueness </w:t>
            </w:r>
          </w:p>
        </w:tc>
        <w:tc>
          <w:tcPr>
            <w:tcW w:w="4510" w:type="dxa"/>
            <w:tcBorders>
              <w:top w:val="single" w:sz="4" w:space="0" w:color="000000"/>
              <w:left w:val="single" w:sz="4" w:space="0" w:color="000000"/>
              <w:bottom w:val="single" w:sz="4" w:space="0" w:color="000000"/>
              <w:right w:val="single" w:sz="4" w:space="0" w:color="000000"/>
            </w:tcBorders>
          </w:tcPr>
          <w:p w14:paraId="3AB04480" w14:textId="77777777" w:rsidR="00A13402" w:rsidRDefault="00A13402" w:rsidP="00CE5EA4">
            <w:pPr>
              <w:spacing w:after="153" w:line="277" w:lineRule="auto"/>
            </w:pPr>
            <w:r>
              <w:t>Uses transfer learning with pre-trained CNNs fine-tuned on blood smear datasets</w:t>
            </w:r>
          </w:p>
          <w:p w14:paraId="1740AA6F" w14:textId="77777777" w:rsidR="00A13402" w:rsidRDefault="00A13402" w:rsidP="00CE5EA4">
            <w:pPr>
              <w:numPr>
                <w:ilvl w:val="0"/>
                <w:numId w:val="1"/>
              </w:numPr>
              <w:spacing w:after="153" w:line="277" w:lineRule="auto"/>
              <w:ind w:hanging="282"/>
            </w:pPr>
            <w:r>
              <w:t>Works offline, useful for remote labs with no internet access</w:t>
            </w:r>
          </w:p>
          <w:p w14:paraId="26D72630" w14:textId="77777777" w:rsidR="00A13402" w:rsidRDefault="00A13402" w:rsidP="00CE5EA4">
            <w:pPr>
              <w:numPr>
                <w:ilvl w:val="0"/>
                <w:numId w:val="1"/>
              </w:numPr>
              <w:spacing w:after="153" w:line="277" w:lineRule="auto"/>
              <w:ind w:hanging="282"/>
            </w:pPr>
            <w:r>
              <w:t xml:space="preserve">Fast classification with high accuracy, even with minimal </w:t>
            </w:r>
            <w:proofErr w:type="spellStart"/>
            <w:r>
              <w:t>labeled</w:t>
            </w:r>
            <w:proofErr w:type="spellEnd"/>
            <w:r>
              <w:t xml:space="preserve"> data</w:t>
            </w:r>
          </w:p>
          <w:p w14:paraId="26E0CC51" w14:textId="77777777" w:rsidR="00A13402" w:rsidRDefault="00A13402" w:rsidP="00CE5EA4">
            <w:pPr>
              <w:numPr>
                <w:ilvl w:val="0"/>
                <w:numId w:val="1"/>
              </w:numPr>
              <w:spacing w:after="153" w:line="277" w:lineRule="auto"/>
              <w:ind w:hanging="282"/>
            </w:pPr>
            <w:r>
              <w:t>User-friendly GUI for lab technicians with no coding background</w:t>
            </w:r>
          </w:p>
          <w:p w14:paraId="190B00D7" w14:textId="77777777" w:rsidR="00A13402" w:rsidRDefault="00A13402" w:rsidP="00CE5EA4">
            <w:pPr>
              <w:numPr>
                <w:ilvl w:val="0"/>
                <w:numId w:val="1"/>
              </w:numPr>
              <w:spacing w:after="0"/>
              <w:ind w:hanging="282"/>
            </w:pPr>
            <w:r>
              <w:t xml:space="preserve">Reduces dependency on skilled manual </w:t>
            </w:r>
          </w:p>
        </w:tc>
      </w:tr>
    </w:tbl>
    <w:p w14:paraId="7D97DF15" w14:textId="77777777" w:rsidR="00392E5D" w:rsidRDefault="00392E5D">
      <w:pPr>
        <w:spacing w:after="0"/>
        <w:ind w:left="-1442" w:right="8795"/>
      </w:pPr>
    </w:p>
    <w:tbl>
      <w:tblPr>
        <w:tblStyle w:val="TableGrid"/>
        <w:tblW w:w="9066" w:type="dxa"/>
        <w:tblInd w:w="4" w:type="dxa"/>
        <w:tblCellMar>
          <w:top w:w="54" w:type="dxa"/>
          <w:left w:w="110" w:type="dxa"/>
          <w:bottom w:w="0" w:type="dxa"/>
          <w:right w:w="115" w:type="dxa"/>
        </w:tblCellMar>
        <w:tblLook w:val="04A0" w:firstRow="1" w:lastRow="0" w:firstColumn="1" w:lastColumn="0" w:noHBand="0" w:noVBand="1"/>
      </w:tblPr>
      <w:tblGrid>
        <w:gridCol w:w="900"/>
        <w:gridCol w:w="3656"/>
        <w:gridCol w:w="4510"/>
      </w:tblGrid>
      <w:tr w:rsidR="00392E5D" w14:paraId="5AF55B9D" w14:textId="77777777" w:rsidTr="00A13402">
        <w:trPr>
          <w:trHeight w:val="908"/>
        </w:trPr>
        <w:tc>
          <w:tcPr>
            <w:tcW w:w="900" w:type="dxa"/>
            <w:tcBorders>
              <w:top w:val="single" w:sz="4" w:space="0" w:color="000000"/>
              <w:left w:val="single" w:sz="4" w:space="0" w:color="000000"/>
              <w:bottom w:val="single" w:sz="4" w:space="0" w:color="000000"/>
              <w:right w:val="single" w:sz="4" w:space="0" w:color="000000"/>
            </w:tcBorders>
          </w:tcPr>
          <w:p w14:paraId="46561B6B" w14:textId="77777777" w:rsidR="00392E5D" w:rsidRDefault="00392E5D"/>
        </w:tc>
        <w:tc>
          <w:tcPr>
            <w:tcW w:w="3656" w:type="dxa"/>
            <w:tcBorders>
              <w:top w:val="single" w:sz="4" w:space="0" w:color="000000"/>
              <w:left w:val="single" w:sz="4" w:space="0" w:color="000000"/>
              <w:bottom w:val="single" w:sz="4" w:space="0" w:color="000000"/>
              <w:right w:val="single" w:sz="4" w:space="0" w:color="000000"/>
            </w:tcBorders>
          </w:tcPr>
          <w:p w14:paraId="7066BC33" w14:textId="77777777" w:rsidR="00392E5D" w:rsidRDefault="00392E5D"/>
        </w:tc>
        <w:tc>
          <w:tcPr>
            <w:tcW w:w="4510" w:type="dxa"/>
            <w:tcBorders>
              <w:top w:val="single" w:sz="4" w:space="0" w:color="000000"/>
              <w:left w:val="single" w:sz="4" w:space="0" w:color="000000"/>
              <w:bottom w:val="single" w:sz="4" w:space="0" w:color="000000"/>
              <w:right w:val="single" w:sz="4" w:space="0" w:color="000000"/>
            </w:tcBorders>
          </w:tcPr>
          <w:p w14:paraId="304ED2AF" w14:textId="77777777" w:rsidR="00392E5D" w:rsidRDefault="00A13402">
            <w:pPr>
              <w:spacing w:after="0"/>
              <w:ind w:left="720"/>
            </w:pPr>
            <w:r>
              <w:t>microscopy</w:t>
            </w:r>
          </w:p>
        </w:tc>
      </w:tr>
      <w:tr w:rsidR="00392E5D" w14:paraId="339CB925" w14:textId="77777777" w:rsidTr="00A13402">
        <w:trPr>
          <w:trHeight w:val="3940"/>
        </w:trPr>
        <w:tc>
          <w:tcPr>
            <w:tcW w:w="900" w:type="dxa"/>
            <w:tcBorders>
              <w:top w:val="single" w:sz="4" w:space="0" w:color="000000"/>
              <w:left w:val="single" w:sz="4" w:space="0" w:color="000000"/>
              <w:bottom w:val="single" w:sz="4" w:space="0" w:color="000000"/>
              <w:right w:val="single" w:sz="4" w:space="0" w:color="000000"/>
            </w:tcBorders>
          </w:tcPr>
          <w:p w14:paraId="11C88049" w14:textId="77777777" w:rsidR="00392E5D" w:rsidRDefault="00A13402">
            <w:pPr>
              <w:spacing w:after="0"/>
              <w:ind w:left="59"/>
              <w:jc w:val="center"/>
            </w:pPr>
            <w:r>
              <w:t>4.</w:t>
            </w:r>
          </w:p>
        </w:tc>
        <w:tc>
          <w:tcPr>
            <w:tcW w:w="3656" w:type="dxa"/>
            <w:tcBorders>
              <w:top w:val="single" w:sz="4" w:space="0" w:color="000000"/>
              <w:left w:val="single" w:sz="4" w:space="0" w:color="000000"/>
              <w:bottom w:val="single" w:sz="4" w:space="0" w:color="000000"/>
              <w:right w:val="single" w:sz="4" w:space="0" w:color="000000"/>
            </w:tcBorders>
          </w:tcPr>
          <w:p w14:paraId="53EE39B9" w14:textId="77777777" w:rsidR="00392E5D" w:rsidRDefault="00A13402">
            <w:pPr>
              <w:spacing w:after="0"/>
            </w:pPr>
            <w:r>
              <w:rPr>
                <w:color w:val="222222"/>
              </w:rPr>
              <w:t>Social Impact / Customer Satisfaction</w:t>
            </w:r>
          </w:p>
        </w:tc>
        <w:tc>
          <w:tcPr>
            <w:tcW w:w="4510" w:type="dxa"/>
            <w:tcBorders>
              <w:top w:val="single" w:sz="4" w:space="0" w:color="000000"/>
              <w:left w:val="single" w:sz="4" w:space="0" w:color="000000"/>
              <w:bottom w:val="single" w:sz="4" w:space="0" w:color="000000"/>
              <w:right w:val="single" w:sz="4" w:space="0" w:color="000000"/>
            </w:tcBorders>
          </w:tcPr>
          <w:p w14:paraId="752959CD" w14:textId="77777777" w:rsidR="00392E5D" w:rsidRDefault="00A13402">
            <w:pPr>
              <w:spacing w:after="173"/>
            </w:pPr>
            <w:r>
              <w:t>Reduces misdiagnosis and diagnostic delays</w:t>
            </w:r>
          </w:p>
          <w:p w14:paraId="4E670761" w14:textId="77777777" w:rsidR="00392E5D" w:rsidRDefault="00A13402">
            <w:pPr>
              <w:numPr>
                <w:ilvl w:val="0"/>
                <w:numId w:val="2"/>
              </w:numPr>
              <w:spacing w:after="153" w:line="277" w:lineRule="auto"/>
              <w:ind w:hanging="284"/>
            </w:pPr>
            <w:r>
              <w:t>Improves healthcare outcomes through timely blood analysis</w:t>
            </w:r>
          </w:p>
          <w:p w14:paraId="61930275" w14:textId="77777777" w:rsidR="00392E5D" w:rsidRDefault="00A13402">
            <w:pPr>
              <w:numPr>
                <w:ilvl w:val="0"/>
                <w:numId w:val="2"/>
              </w:numPr>
              <w:spacing w:after="153" w:line="277" w:lineRule="auto"/>
              <w:ind w:hanging="284"/>
            </w:pPr>
            <w:r>
              <w:t>Helps rural and resource-limited labs deliver better services</w:t>
            </w:r>
          </w:p>
          <w:p w14:paraId="5FD223C2" w14:textId="77777777" w:rsidR="00392E5D" w:rsidRDefault="00A13402">
            <w:pPr>
              <w:numPr>
                <w:ilvl w:val="0"/>
                <w:numId w:val="2"/>
              </w:numPr>
              <w:spacing w:after="153" w:line="277" w:lineRule="auto"/>
              <w:ind w:hanging="284"/>
            </w:pPr>
            <w:r>
              <w:t>Empowers healthcare workers with AI assistance</w:t>
            </w:r>
          </w:p>
          <w:p w14:paraId="1BB2C0D7" w14:textId="77777777" w:rsidR="00392E5D" w:rsidRDefault="00A13402">
            <w:pPr>
              <w:numPr>
                <w:ilvl w:val="0"/>
                <w:numId w:val="2"/>
              </w:numPr>
              <w:spacing w:after="0"/>
              <w:ind w:hanging="284"/>
            </w:pPr>
            <w:r>
              <w:t>Increases trust and confidence among patients and doctors</w:t>
            </w:r>
          </w:p>
        </w:tc>
      </w:tr>
      <w:tr w:rsidR="00392E5D" w14:paraId="09C1061D" w14:textId="77777777" w:rsidTr="00A13402">
        <w:trPr>
          <w:trHeight w:val="4248"/>
        </w:trPr>
        <w:tc>
          <w:tcPr>
            <w:tcW w:w="900" w:type="dxa"/>
            <w:tcBorders>
              <w:top w:val="single" w:sz="4" w:space="0" w:color="000000"/>
              <w:left w:val="single" w:sz="4" w:space="0" w:color="000000"/>
              <w:bottom w:val="single" w:sz="4" w:space="0" w:color="000000"/>
              <w:right w:val="single" w:sz="4" w:space="0" w:color="000000"/>
            </w:tcBorders>
          </w:tcPr>
          <w:p w14:paraId="1E778D65" w14:textId="77777777" w:rsidR="00392E5D" w:rsidRDefault="00A13402">
            <w:pPr>
              <w:spacing w:after="0"/>
              <w:ind w:left="59"/>
              <w:jc w:val="center"/>
            </w:pPr>
            <w:r>
              <w:t>5.</w:t>
            </w:r>
          </w:p>
        </w:tc>
        <w:tc>
          <w:tcPr>
            <w:tcW w:w="3656" w:type="dxa"/>
            <w:tcBorders>
              <w:top w:val="single" w:sz="4" w:space="0" w:color="000000"/>
              <w:left w:val="single" w:sz="4" w:space="0" w:color="000000"/>
              <w:bottom w:val="single" w:sz="4" w:space="0" w:color="000000"/>
              <w:right w:val="single" w:sz="4" w:space="0" w:color="000000"/>
            </w:tcBorders>
          </w:tcPr>
          <w:p w14:paraId="6B782412" w14:textId="77777777" w:rsidR="00392E5D" w:rsidRDefault="00A13402">
            <w:pPr>
              <w:spacing w:after="0"/>
            </w:pPr>
            <w:r>
              <w:rPr>
                <w:color w:val="222222"/>
              </w:rPr>
              <w:t>Business Model (Revenue Model)</w:t>
            </w:r>
          </w:p>
        </w:tc>
        <w:tc>
          <w:tcPr>
            <w:tcW w:w="4510" w:type="dxa"/>
            <w:tcBorders>
              <w:top w:val="single" w:sz="4" w:space="0" w:color="000000"/>
              <w:left w:val="single" w:sz="4" w:space="0" w:color="000000"/>
              <w:bottom w:val="single" w:sz="4" w:space="0" w:color="000000"/>
              <w:right w:val="single" w:sz="4" w:space="0" w:color="000000"/>
            </w:tcBorders>
          </w:tcPr>
          <w:p w14:paraId="7B0CB235" w14:textId="77777777" w:rsidR="00392E5D" w:rsidRDefault="00A13402">
            <w:pPr>
              <w:spacing w:after="157" w:line="275" w:lineRule="auto"/>
            </w:pPr>
            <w:r>
              <w:t>Freemium model: free version for educational use, paid version for clinical setups</w:t>
            </w:r>
          </w:p>
          <w:p w14:paraId="311D9C35" w14:textId="77777777" w:rsidR="00392E5D" w:rsidRDefault="00A13402">
            <w:pPr>
              <w:numPr>
                <w:ilvl w:val="0"/>
                <w:numId w:val="3"/>
              </w:numPr>
              <w:spacing w:after="157" w:line="275" w:lineRule="auto"/>
              <w:ind w:hanging="282"/>
            </w:pPr>
            <w:r>
              <w:t xml:space="preserve">Subscription-based plans for diagnostic </w:t>
            </w:r>
            <w:proofErr w:type="spellStart"/>
            <w:r>
              <w:t>centers</w:t>
            </w:r>
            <w:proofErr w:type="spellEnd"/>
            <w:r>
              <w:t xml:space="preserve"> and hospitals</w:t>
            </w:r>
          </w:p>
          <w:p w14:paraId="57FE67F5" w14:textId="77777777" w:rsidR="00392E5D" w:rsidRDefault="00A13402">
            <w:pPr>
              <w:numPr>
                <w:ilvl w:val="0"/>
                <w:numId w:val="3"/>
              </w:numPr>
              <w:spacing w:after="157" w:line="275" w:lineRule="auto"/>
              <w:ind w:hanging="282"/>
            </w:pPr>
            <w:r>
              <w:t>Licensing to pathology labs and healthcare institutions</w:t>
            </w:r>
          </w:p>
          <w:p w14:paraId="55E6FF83" w14:textId="77777777" w:rsidR="00392E5D" w:rsidRDefault="00A13402">
            <w:pPr>
              <w:numPr>
                <w:ilvl w:val="0"/>
                <w:numId w:val="3"/>
              </w:numPr>
              <w:spacing w:after="157" w:line="275" w:lineRule="auto"/>
              <w:ind w:hanging="282"/>
            </w:pPr>
            <w:r>
              <w:t>API integration with hospital lab systems and digital health platforms</w:t>
            </w:r>
          </w:p>
          <w:p w14:paraId="19E538CE" w14:textId="77777777" w:rsidR="00392E5D" w:rsidRDefault="00A13402">
            <w:pPr>
              <w:numPr>
                <w:ilvl w:val="0"/>
                <w:numId w:val="3"/>
              </w:numPr>
              <w:spacing w:after="0"/>
              <w:ind w:hanging="282"/>
            </w:pPr>
            <w:r>
              <w:t>Potential partnership with medical device and diagnostic software vendors</w:t>
            </w:r>
          </w:p>
        </w:tc>
      </w:tr>
      <w:tr w:rsidR="00392E5D" w14:paraId="6EC9B070" w14:textId="77777777" w:rsidTr="00A13402">
        <w:trPr>
          <w:trHeight w:val="4110"/>
        </w:trPr>
        <w:tc>
          <w:tcPr>
            <w:tcW w:w="900" w:type="dxa"/>
            <w:tcBorders>
              <w:top w:val="single" w:sz="4" w:space="0" w:color="000000"/>
              <w:left w:val="single" w:sz="4" w:space="0" w:color="000000"/>
              <w:bottom w:val="single" w:sz="4" w:space="0" w:color="000000"/>
              <w:right w:val="single" w:sz="4" w:space="0" w:color="000000"/>
            </w:tcBorders>
          </w:tcPr>
          <w:p w14:paraId="4D1440C1" w14:textId="77777777" w:rsidR="00392E5D" w:rsidRDefault="00A13402">
            <w:pPr>
              <w:spacing w:after="0"/>
              <w:ind w:left="59"/>
              <w:jc w:val="center"/>
            </w:pPr>
            <w:r>
              <w:lastRenderedPageBreak/>
              <w:t>6.</w:t>
            </w:r>
          </w:p>
        </w:tc>
        <w:tc>
          <w:tcPr>
            <w:tcW w:w="3656" w:type="dxa"/>
            <w:tcBorders>
              <w:top w:val="single" w:sz="4" w:space="0" w:color="000000"/>
              <w:left w:val="single" w:sz="4" w:space="0" w:color="000000"/>
              <w:bottom w:val="single" w:sz="4" w:space="0" w:color="000000"/>
              <w:right w:val="single" w:sz="4" w:space="0" w:color="000000"/>
            </w:tcBorders>
          </w:tcPr>
          <w:p w14:paraId="1D050B20" w14:textId="77777777" w:rsidR="00392E5D" w:rsidRDefault="00A13402">
            <w:pPr>
              <w:spacing w:after="0"/>
            </w:pPr>
            <w:r>
              <w:rPr>
                <w:color w:val="222222"/>
              </w:rPr>
              <w:t>Scalability of the Solution</w:t>
            </w:r>
          </w:p>
        </w:tc>
        <w:tc>
          <w:tcPr>
            <w:tcW w:w="4510" w:type="dxa"/>
            <w:tcBorders>
              <w:top w:val="single" w:sz="4" w:space="0" w:color="000000"/>
              <w:left w:val="single" w:sz="4" w:space="0" w:color="000000"/>
              <w:bottom w:val="single" w:sz="4" w:space="0" w:color="000000"/>
              <w:right w:val="single" w:sz="4" w:space="0" w:color="000000"/>
            </w:tcBorders>
          </w:tcPr>
          <w:p w14:paraId="65888A63" w14:textId="77777777" w:rsidR="00392E5D" w:rsidRDefault="00A13402">
            <w:pPr>
              <w:spacing w:after="153" w:line="277" w:lineRule="auto"/>
            </w:pPr>
            <w:r>
              <w:t>Easily deployable on laptops, mobile devices, or integrated into lab software</w:t>
            </w:r>
          </w:p>
          <w:p w14:paraId="4231E7E8" w14:textId="77777777" w:rsidR="00392E5D" w:rsidRDefault="00A13402">
            <w:pPr>
              <w:numPr>
                <w:ilvl w:val="0"/>
                <w:numId w:val="4"/>
              </w:numPr>
              <w:spacing w:after="153" w:line="277" w:lineRule="auto"/>
              <w:ind w:hanging="284"/>
            </w:pPr>
            <w:r>
              <w:t xml:space="preserve">Can be extended to detect specific diseases like </w:t>
            </w:r>
            <w:proofErr w:type="spellStart"/>
            <w:r>
              <w:t>leukemia</w:t>
            </w:r>
            <w:proofErr w:type="spellEnd"/>
            <w:r>
              <w:t>, malaria, etc.</w:t>
            </w:r>
          </w:p>
          <w:p w14:paraId="0F9A975C" w14:textId="77777777" w:rsidR="00392E5D" w:rsidRDefault="00A13402">
            <w:pPr>
              <w:numPr>
                <w:ilvl w:val="0"/>
                <w:numId w:val="4"/>
              </w:numPr>
              <w:spacing w:after="156" w:line="276" w:lineRule="auto"/>
              <w:ind w:hanging="284"/>
            </w:pPr>
            <w:r>
              <w:t>Scalable to other diagnostic image classification tasks (urine microscopy, histopathology)</w:t>
            </w:r>
          </w:p>
          <w:p w14:paraId="38AD635D" w14:textId="77777777" w:rsidR="00392E5D" w:rsidRDefault="00A13402">
            <w:pPr>
              <w:numPr>
                <w:ilvl w:val="0"/>
                <w:numId w:val="4"/>
              </w:numPr>
              <w:spacing w:after="0"/>
              <w:ind w:hanging="284"/>
            </w:pPr>
            <w:r>
              <w:t>Adaptable for multilingual and regional usage in healthcare setups across India and globally</w:t>
            </w:r>
          </w:p>
        </w:tc>
      </w:tr>
    </w:tbl>
    <w:p w14:paraId="4A82A7BB" w14:textId="77777777" w:rsidR="00A13402" w:rsidRDefault="00A13402"/>
    <w:sectPr w:rsidR="00000000">
      <w:pgSz w:w="11906" w:h="16838"/>
      <w:pgMar w:top="857" w:right="3111" w:bottom="185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57EF8"/>
    <w:multiLevelType w:val="hybridMultilevel"/>
    <w:tmpl w:val="8EEC9FE6"/>
    <w:lvl w:ilvl="0" w:tplc="CFA481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40780">
      <w:start w:val="1"/>
      <w:numFmt w:val="bullet"/>
      <w:lvlText w:val="o"/>
      <w:lvlJc w:val="left"/>
      <w:pPr>
        <w:ind w:left="1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96357A">
      <w:start w:val="1"/>
      <w:numFmt w:val="bullet"/>
      <w:lvlText w:val="▪"/>
      <w:lvlJc w:val="left"/>
      <w:pPr>
        <w:ind w:left="2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468D80">
      <w:start w:val="1"/>
      <w:numFmt w:val="bullet"/>
      <w:lvlText w:val="•"/>
      <w:lvlJc w:val="left"/>
      <w:pPr>
        <w:ind w:left="3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3C3E02">
      <w:start w:val="1"/>
      <w:numFmt w:val="bullet"/>
      <w:lvlText w:val="o"/>
      <w:lvlJc w:val="left"/>
      <w:pPr>
        <w:ind w:left="3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D45956">
      <w:start w:val="1"/>
      <w:numFmt w:val="bullet"/>
      <w:lvlText w:val="▪"/>
      <w:lvlJc w:val="left"/>
      <w:pPr>
        <w:ind w:left="4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4464B2">
      <w:start w:val="1"/>
      <w:numFmt w:val="bullet"/>
      <w:lvlText w:val="•"/>
      <w:lvlJc w:val="left"/>
      <w:pPr>
        <w:ind w:left="5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2CEBC4">
      <w:start w:val="1"/>
      <w:numFmt w:val="bullet"/>
      <w:lvlText w:val="o"/>
      <w:lvlJc w:val="left"/>
      <w:pPr>
        <w:ind w:left="5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DCC63E">
      <w:start w:val="1"/>
      <w:numFmt w:val="bullet"/>
      <w:lvlText w:val="▪"/>
      <w:lvlJc w:val="left"/>
      <w:pPr>
        <w:ind w:left="6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0F7D61"/>
    <w:multiLevelType w:val="hybridMultilevel"/>
    <w:tmpl w:val="8856F1BE"/>
    <w:lvl w:ilvl="0" w:tplc="85184C1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E30E0">
      <w:start w:val="1"/>
      <w:numFmt w:val="bullet"/>
      <w:lvlText w:val="o"/>
      <w:lvlJc w:val="left"/>
      <w:pPr>
        <w:ind w:left="1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74C260">
      <w:start w:val="1"/>
      <w:numFmt w:val="bullet"/>
      <w:lvlText w:val="▪"/>
      <w:lvlJc w:val="left"/>
      <w:pPr>
        <w:ind w:left="2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12FE90">
      <w:start w:val="1"/>
      <w:numFmt w:val="bullet"/>
      <w:lvlText w:val="•"/>
      <w:lvlJc w:val="left"/>
      <w:pPr>
        <w:ind w:left="3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685858">
      <w:start w:val="1"/>
      <w:numFmt w:val="bullet"/>
      <w:lvlText w:val="o"/>
      <w:lvlJc w:val="left"/>
      <w:pPr>
        <w:ind w:left="3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AA694C">
      <w:start w:val="1"/>
      <w:numFmt w:val="bullet"/>
      <w:lvlText w:val="▪"/>
      <w:lvlJc w:val="left"/>
      <w:pPr>
        <w:ind w:left="4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AEFCA8">
      <w:start w:val="1"/>
      <w:numFmt w:val="bullet"/>
      <w:lvlText w:val="•"/>
      <w:lvlJc w:val="left"/>
      <w:pPr>
        <w:ind w:left="5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C68E9C">
      <w:start w:val="1"/>
      <w:numFmt w:val="bullet"/>
      <w:lvlText w:val="o"/>
      <w:lvlJc w:val="left"/>
      <w:pPr>
        <w:ind w:left="5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D6EA74">
      <w:start w:val="1"/>
      <w:numFmt w:val="bullet"/>
      <w:lvlText w:val="▪"/>
      <w:lvlJc w:val="left"/>
      <w:pPr>
        <w:ind w:left="6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751F93"/>
    <w:multiLevelType w:val="hybridMultilevel"/>
    <w:tmpl w:val="F124B4F2"/>
    <w:lvl w:ilvl="0" w:tplc="24FE66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E85FA6">
      <w:start w:val="1"/>
      <w:numFmt w:val="bullet"/>
      <w:lvlText w:val="o"/>
      <w:lvlJc w:val="left"/>
      <w:pPr>
        <w:ind w:left="1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0AA6CA">
      <w:start w:val="1"/>
      <w:numFmt w:val="bullet"/>
      <w:lvlText w:val="▪"/>
      <w:lvlJc w:val="left"/>
      <w:pPr>
        <w:ind w:left="2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C6458C">
      <w:start w:val="1"/>
      <w:numFmt w:val="bullet"/>
      <w:lvlText w:val="•"/>
      <w:lvlJc w:val="left"/>
      <w:pPr>
        <w:ind w:left="3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2603DE">
      <w:start w:val="1"/>
      <w:numFmt w:val="bullet"/>
      <w:lvlText w:val="o"/>
      <w:lvlJc w:val="left"/>
      <w:pPr>
        <w:ind w:left="3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B4A536">
      <w:start w:val="1"/>
      <w:numFmt w:val="bullet"/>
      <w:lvlText w:val="▪"/>
      <w:lvlJc w:val="left"/>
      <w:pPr>
        <w:ind w:left="4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78EC98">
      <w:start w:val="1"/>
      <w:numFmt w:val="bullet"/>
      <w:lvlText w:val="•"/>
      <w:lvlJc w:val="left"/>
      <w:pPr>
        <w:ind w:left="5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30CB4E">
      <w:start w:val="1"/>
      <w:numFmt w:val="bullet"/>
      <w:lvlText w:val="o"/>
      <w:lvlJc w:val="left"/>
      <w:pPr>
        <w:ind w:left="5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3ADFA0">
      <w:start w:val="1"/>
      <w:numFmt w:val="bullet"/>
      <w:lvlText w:val="▪"/>
      <w:lvlJc w:val="left"/>
      <w:pPr>
        <w:ind w:left="6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717F00"/>
    <w:multiLevelType w:val="hybridMultilevel"/>
    <w:tmpl w:val="136A4AE2"/>
    <w:lvl w:ilvl="0" w:tplc="2D3A5FA2">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24295A">
      <w:start w:val="1"/>
      <w:numFmt w:val="bullet"/>
      <w:lvlText w:val="o"/>
      <w:lvlJc w:val="left"/>
      <w:pPr>
        <w:ind w:left="1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0201B4">
      <w:start w:val="1"/>
      <w:numFmt w:val="bullet"/>
      <w:lvlText w:val="▪"/>
      <w:lvlJc w:val="left"/>
      <w:pPr>
        <w:ind w:left="2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007DBC">
      <w:start w:val="1"/>
      <w:numFmt w:val="bullet"/>
      <w:lvlText w:val="•"/>
      <w:lvlJc w:val="left"/>
      <w:pPr>
        <w:ind w:left="3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D4E9BE">
      <w:start w:val="1"/>
      <w:numFmt w:val="bullet"/>
      <w:lvlText w:val="o"/>
      <w:lvlJc w:val="left"/>
      <w:pPr>
        <w:ind w:left="3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603AD6">
      <w:start w:val="1"/>
      <w:numFmt w:val="bullet"/>
      <w:lvlText w:val="▪"/>
      <w:lvlJc w:val="left"/>
      <w:pPr>
        <w:ind w:left="4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B28FB6">
      <w:start w:val="1"/>
      <w:numFmt w:val="bullet"/>
      <w:lvlText w:val="•"/>
      <w:lvlJc w:val="left"/>
      <w:pPr>
        <w:ind w:left="5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5A26AC">
      <w:start w:val="1"/>
      <w:numFmt w:val="bullet"/>
      <w:lvlText w:val="o"/>
      <w:lvlJc w:val="left"/>
      <w:pPr>
        <w:ind w:left="5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0E43E4">
      <w:start w:val="1"/>
      <w:numFmt w:val="bullet"/>
      <w:lvlText w:val="▪"/>
      <w:lvlJc w:val="left"/>
      <w:pPr>
        <w:ind w:left="6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2975721">
    <w:abstractNumId w:val="0"/>
  </w:num>
  <w:num w:numId="2" w16cid:durableId="12538732">
    <w:abstractNumId w:val="1"/>
  </w:num>
  <w:num w:numId="3" w16cid:durableId="1309241689">
    <w:abstractNumId w:val="2"/>
  </w:num>
  <w:num w:numId="4" w16cid:durableId="1814642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E5D"/>
    <w:rsid w:val="001C1B1F"/>
    <w:rsid w:val="00392E5D"/>
    <w:rsid w:val="00A13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F5BF"/>
  <w15:docId w15:val="{41FB2332-245E-466E-A277-799F6920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Nagendra P</cp:lastModifiedBy>
  <cp:revision>2</cp:revision>
  <dcterms:created xsi:type="dcterms:W3CDTF">2025-07-02T16:24:00Z</dcterms:created>
  <dcterms:modified xsi:type="dcterms:W3CDTF">2025-07-02T16:24:00Z</dcterms:modified>
</cp:coreProperties>
</file>