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D6C6" w14:textId="68A210E7" w:rsidR="00483336" w:rsidRDefault="00483336" w:rsidP="00483336">
      <w:r>
        <w:t xml:space="preserve">Customer Journey Map: </w:t>
      </w:r>
      <w:proofErr w:type="spellStart"/>
      <w:r>
        <w:t>HematoVision</w:t>
      </w:r>
      <w:proofErr w:type="spellEnd"/>
      <w:r>
        <w:t xml:space="preserve"> – Advanced Blood Cell Classification Using Transfer Learning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3966"/>
        <w:gridCol w:w="4330"/>
      </w:tblGrid>
      <w:tr w:rsidR="00483336" w14:paraId="16001C27" w14:textId="77777777" w:rsidTr="00483336">
        <w:tc>
          <w:tcPr>
            <w:tcW w:w="4508" w:type="dxa"/>
          </w:tcPr>
          <w:p w14:paraId="5F0CFE00" w14:textId="5DD9E842" w:rsidR="00483336" w:rsidRDefault="00483336" w:rsidP="00483336">
            <w:pPr>
              <w:ind w:left="0"/>
              <w:rPr>
                <w:b w:val="0"/>
                <w:bCs/>
                <w:color w:val="auto"/>
                <w:sz w:val="36"/>
                <w:szCs w:val="36"/>
              </w:rPr>
            </w:pPr>
            <w:r>
              <w:rPr>
                <w:b w:val="0"/>
                <w:bCs/>
                <w:color w:val="auto"/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10793C04" w14:textId="646D2B99" w:rsidR="00483336" w:rsidRDefault="00483336" w:rsidP="00483336">
            <w:pPr>
              <w:ind w:left="0"/>
              <w:rPr>
                <w:b w:val="0"/>
                <w:bCs/>
                <w:color w:val="auto"/>
                <w:sz w:val="36"/>
                <w:szCs w:val="36"/>
              </w:rPr>
            </w:pPr>
            <w:r>
              <w:rPr>
                <w:b w:val="0"/>
                <w:bCs/>
                <w:color w:val="auto"/>
                <w:sz w:val="36"/>
                <w:szCs w:val="36"/>
              </w:rPr>
              <w:t>LTVIP2025TMID39268</w:t>
            </w:r>
          </w:p>
        </w:tc>
      </w:tr>
      <w:tr w:rsidR="00483336" w14:paraId="19A320F8" w14:textId="77777777" w:rsidTr="00483336">
        <w:tc>
          <w:tcPr>
            <w:tcW w:w="4508" w:type="dxa"/>
          </w:tcPr>
          <w:p w14:paraId="1D44CE93" w14:textId="26964380" w:rsidR="00483336" w:rsidRDefault="00483336" w:rsidP="00483336">
            <w:pPr>
              <w:ind w:left="0"/>
              <w:rPr>
                <w:b w:val="0"/>
                <w:bCs/>
                <w:color w:val="auto"/>
                <w:sz w:val="36"/>
                <w:szCs w:val="36"/>
              </w:rPr>
            </w:pPr>
            <w:r>
              <w:rPr>
                <w:b w:val="0"/>
                <w:bCs/>
                <w:color w:val="auto"/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73B59F09" w14:textId="6D44D675" w:rsidR="00483336" w:rsidRDefault="00483336" w:rsidP="00483336">
            <w:pPr>
              <w:ind w:left="0"/>
              <w:rPr>
                <w:b w:val="0"/>
                <w:bCs/>
                <w:color w:val="auto"/>
                <w:sz w:val="36"/>
                <w:szCs w:val="36"/>
              </w:rPr>
            </w:pPr>
            <w:proofErr w:type="spellStart"/>
            <w:r w:rsidRPr="00483336">
              <w:rPr>
                <w:b w:val="0"/>
                <w:bCs/>
                <w:color w:val="auto"/>
                <w:sz w:val="36"/>
                <w:szCs w:val="36"/>
              </w:rPr>
              <w:t>HematoVision</w:t>
            </w:r>
            <w:proofErr w:type="spellEnd"/>
            <w:r w:rsidRPr="00483336">
              <w:rPr>
                <w:b w:val="0"/>
                <w:bCs/>
                <w:color w:val="auto"/>
                <w:sz w:val="36"/>
                <w:szCs w:val="36"/>
              </w:rPr>
              <w:t>: Advanced Blood Cell Classification Using Transfer Learning</w:t>
            </w:r>
          </w:p>
        </w:tc>
      </w:tr>
    </w:tbl>
    <w:p w14:paraId="6165BC91" w14:textId="16B38CD4" w:rsidR="00483336" w:rsidRPr="00483336" w:rsidRDefault="00483336" w:rsidP="00483336">
      <w:pPr>
        <w:ind w:left="720" w:hanging="720"/>
        <w:rPr>
          <w:b w:val="0"/>
          <w:bCs/>
          <w:color w:val="auto"/>
          <w:sz w:val="36"/>
          <w:szCs w:val="36"/>
        </w:rPr>
      </w:pPr>
    </w:p>
    <w:tbl>
      <w:tblPr>
        <w:tblStyle w:val="TableGrid"/>
        <w:tblW w:w="10430" w:type="dxa"/>
        <w:tblInd w:w="-306" w:type="dxa"/>
        <w:tblCellMar>
          <w:top w:w="44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76"/>
        <w:gridCol w:w="1485"/>
        <w:gridCol w:w="1625"/>
        <w:gridCol w:w="1555"/>
        <w:gridCol w:w="1834"/>
        <w:gridCol w:w="1855"/>
      </w:tblGrid>
      <w:tr w:rsidR="00C70F4C" w14:paraId="0EBEE5C5" w14:textId="77777777">
        <w:trPr>
          <w:trHeight w:val="620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4" w:space="0" w:color="BF0041"/>
            </w:tcBorders>
            <w:shd w:val="clear" w:color="auto" w:fill="B2B2B2"/>
            <w:vAlign w:val="center"/>
          </w:tcPr>
          <w:p w14:paraId="38F31906" w14:textId="77777777" w:rsidR="00C70F4C" w:rsidRDefault="00483336">
            <w:pPr>
              <w:ind w:left="3"/>
              <w:jc w:val="center"/>
            </w:pPr>
            <w:r>
              <w:rPr>
                <w:color w:val="000000"/>
                <w:sz w:val="24"/>
              </w:rPr>
              <w:t>STEPS</w:t>
            </w:r>
          </w:p>
        </w:tc>
        <w:tc>
          <w:tcPr>
            <w:tcW w:w="1488" w:type="dxa"/>
            <w:tcBorders>
              <w:top w:val="single" w:sz="4" w:space="0" w:color="BF0041"/>
              <w:left w:val="single" w:sz="4" w:space="0" w:color="BF0041"/>
              <w:bottom w:val="single" w:sz="6" w:space="0" w:color="600021"/>
              <w:right w:val="single" w:sz="4" w:space="0" w:color="BF0041"/>
            </w:tcBorders>
            <w:shd w:val="clear" w:color="auto" w:fill="CCCCCC"/>
            <w:vAlign w:val="center"/>
          </w:tcPr>
          <w:p w14:paraId="6113C0B6" w14:textId="77777777" w:rsidR="00C70F4C" w:rsidRDefault="00483336">
            <w:pPr>
              <w:ind w:left="256"/>
            </w:pPr>
            <w:r>
              <w:rPr>
                <w:color w:val="000000"/>
                <w:sz w:val="24"/>
              </w:rPr>
              <w:t>ENTICE</w:t>
            </w:r>
          </w:p>
        </w:tc>
        <w:tc>
          <w:tcPr>
            <w:tcW w:w="1648" w:type="dxa"/>
            <w:tcBorders>
              <w:top w:val="single" w:sz="4" w:space="0" w:color="BF0041"/>
              <w:left w:val="single" w:sz="4" w:space="0" w:color="BF0041"/>
              <w:bottom w:val="single" w:sz="6" w:space="0" w:color="600021"/>
              <w:right w:val="single" w:sz="4" w:space="0" w:color="BF0041"/>
            </w:tcBorders>
            <w:shd w:val="clear" w:color="auto" w:fill="CCCCCC"/>
          </w:tcPr>
          <w:p w14:paraId="4DD4F589" w14:textId="77777777" w:rsidR="00C70F4C" w:rsidRDefault="00483336">
            <w:pPr>
              <w:ind w:left="160"/>
            </w:pPr>
            <w:r>
              <w:rPr>
                <w:color w:val="000000"/>
                <w:sz w:val="24"/>
              </w:rPr>
              <w:t>UPLOAD &amp;</w:t>
            </w:r>
          </w:p>
          <w:p w14:paraId="7DDC666D" w14:textId="77777777" w:rsidR="00C70F4C" w:rsidRDefault="00483336">
            <w:pPr>
              <w:ind w:left="156"/>
            </w:pPr>
            <w:r>
              <w:rPr>
                <w:color w:val="000000"/>
                <w:sz w:val="24"/>
              </w:rPr>
              <w:t>DIAGNOSE</w:t>
            </w:r>
          </w:p>
        </w:tc>
        <w:tc>
          <w:tcPr>
            <w:tcW w:w="1528" w:type="dxa"/>
            <w:tcBorders>
              <w:top w:val="single" w:sz="4" w:space="0" w:color="BF0041"/>
              <w:left w:val="single" w:sz="4" w:space="0" w:color="BF0041"/>
              <w:bottom w:val="single" w:sz="6" w:space="0" w:color="600021"/>
              <w:right w:val="single" w:sz="4" w:space="0" w:color="BF0041"/>
            </w:tcBorders>
            <w:shd w:val="clear" w:color="auto" w:fill="CCCCCC"/>
          </w:tcPr>
          <w:p w14:paraId="0B5265C0" w14:textId="77777777" w:rsidR="00C70F4C" w:rsidRDefault="00483336">
            <w:pPr>
              <w:ind w:left="0"/>
              <w:jc w:val="center"/>
            </w:pPr>
            <w:r>
              <w:rPr>
                <w:color w:val="000000"/>
                <w:sz w:val="24"/>
              </w:rPr>
              <w:t>VIEW RESULTS</w:t>
            </w:r>
          </w:p>
        </w:tc>
        <w:tc>
          <w:tcPr>
            <w:tcW w:w="1808" w:type="dxa"/>
            <w:tcBorders>
              <w:top w:val="single" w:sz="4" w:space="0" w:color="BF0041"/>
              <w:left w:val="single" w:sz="4" w:space="0" w:color="BF0041"/>
              <w:bottom w:val="single" w:sz="6" w:space="0" w:color="600021"/>
              <w:right w:val="single" w:sz="4" w:space="0" w:color="BF0041"/>
            </w:tcBorders>
            <w:shd w:val="clear" w:color="auto" w:fill="CCCCCC"/>
            <w:vAlign w:val="center"/>
          </w:tcPr>
          <w:p w14:paraId="73163DDB" w14:textId="77777777" w:rsidR="00C70F4C" w:rsidRDefault="00483336">
            <w:pPr>
              <w:ind w:left="2"/>
              <w:jc w:val="center"/>
            </w:pPr>
            <w:r>
              <w:rPr>
                <w:color w:val="000000"/>
                <w:sz w:val="24"/>
              </w:rPr>
              <w:t>EXTEND</w:t>
            </w:r>
          </w:p>
        </w:tc>
        <w:tc>
          <w:tcPr>
            <w:tcW w:w="1856" w:type="dxa"/>
            <w:tcBorders>
              <w:top w:val="single" w:sz="4" w:space="0" w:color="BF0041"/>
              <w:left w:val="single" w:sz="4" w:space="0" w:color="BF0041"/>
              <w:bottom w:val="single" w:sz="6" w:space="0" w:color="600021"/>
              <w:right w:val="single" w:sz="4" w:space="0" w:color="BF0041"/>
            </w:tcBorders>
            <w:shd w:val="clear" w:color="auto" w:fill="CCCCCC"/>
            <w:vAlign w:val="center"/>
          </w:tcPr>
          <w:p w14:paraId="374FE2DC" w14:textId="77777777" w:rsidR="00C70F4C" w:rsidRDefault="00483336">
            <w:pPr>
              <w:ind w:left="2"/>
              <w:jc w:val="center"/>
            </w:pPr>
            <w:r>
              <w:rPr>
                <w:color w:val="000000"/>
                <w:sz w:val="24"/>
              </w:rPr>
              <w:t>EXTEND</w:t>
            </w:r>
          </w:p>
        </w:tc>
      </w:tr>
      <w:tr w:rsidR="00C70F4C" w14:paraId="43784653" w14:textId="77777777">
        <w:trPr>
          <w:trHeight w:val="2560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6" w:space="0" w:color="600021"/>
            </w:tcBorders>
            <w:shd w:val="clear" w:color="auto" w:fill="B2B2B2"/>
            <w:vAlign w:val="center"/>
          </w:tcPr>
          <w:p w14:paraId="4C8173DB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>CUSTOMER EXPERIENCE</w:t>
            </w:r>
          </w:p>
        </w:tc>
        <w:tc>
          <w:tcPr>
            <w:tcW w:w="148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1D4688BB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 xml:space="preserve">Learns about </w:t>
            </w:r>
          </w:p>
          <w:p w14:paraId="35F81E30" w14:textId="77777777" w:rsidR="00C70F4C" w:rsidRDefault="00483336">
            <w:pPr>
              <w:ind w:left="0"/>
            </w:pPr>
            <w:proofErr w:type="spellStart"/>
            <w:r>
              <w:rPr>
                <w:b w:val="0"/>
                <w:color w:val="000000"/>
                <w:sz w:val="24"/>
              </w:rPr>
              <w:t>HematoVision</w:t>
            </w:r>
            <w:proofErr w:type="spellEnd"/>
            <w:r>
              <w:rPr>
                <w:b w:val="0"/>
                <w:color w:val="000000"/>
                <w:sz w:val="24"/>
              </w:rPr>
              <w:t xml:space="preserve"> through medical forums, hospital newsletters, or health tech expos.</w:t>
            </w:r>
          </w:p>
        </w:tc>
        <w:tc>
          <w:tcPr>
            <w:tcW w:w="164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0AAAF062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Uploads microscopic blood cell images for analysis.</w:t>
            </w:r>
          </w:p>
        </w:tc>
        <w:tc>
          <w:tcPr>
            <w:tcW w:w="152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5AD48404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Sees classification results, possible cell type, and confidence score.</w:t>
            </w:r>
          </w:p>
        </w:tc>
        <w:tc>
          <w:tcPr>
            <w:tcW w:w="180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25D971EF" w14:textId="77777777" w:rsidR="00C70F4C" w:rsidRDefault="00483336">
            <w:pPr>
              <w:spacing w:line="226" w:lineRule="auto"/>
              <w:ind w:left="0"/>
            </w:pPr>
            <w:r>
              <w:rPr>
                <w:b w:val="0"/>
                <w:color w:val="000000"/>
                <w:sz w:val="24"/>
              </w:rPr>
              <w:t>Receives alerts about abnormal findings or recommendations</w:t>
            </w:r>
          </w:p>
          <w:p w14:paraId="21F4A78E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to consult a specialist.</w:t>
            </w:r>
          </w:p>
        </w:tc>
        <w:tc>
          <w:tcPr>
            <w:tcW w:w="1856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41CCC23C" w14:textId="77777777" w:rsidR="00C70F4C" w:rsidRDefault="00483336">
            <w:pPr>
              <w:spacing w:line="226" w:lineRule="auto"/>
              <w:ind w:left="0"/>
            </w:pPr>
            <w:r>
              <w:rPr>
                <w:b w:val="0"/>
                <w:color w:val="000000"/>
                <w:sz w:val="24"/>
              </w:rPr>
              <w:t xml:space="preserve">Receives personalized </w:t>
            </w:r>
          </w:p>
          <w:p w14:paraId="674454DB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health reports or recommendations for follow-up tests.</w:t>
            </w:r>
          </w:p>
        </w:tc>
      </w:tr>
      <w:tr w:rsidR="00C70F4C" w14:paraId="4133085E" w14:textId="77777777">
        <w:trPr>
          <w:trHeight w:val="2280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6" w:space="0" w:color="600021"/>
            </w:tcBorders>
            <w:shd w:val="clear" w:color="auto" w:fill="B2B2B2"/>
            <w:vAlign w:val="center"/>
          </w:tcPr>
          <w:p w14:paraId="782EC626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>INTERACTIONS</w:t>
            </w:r>
          </w:p>
        </w:tc>
        <w:tc>
          <w:tcPr>
            <w:tcW w:w="148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3574A481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 xml:space="preserve">Visits </w:t>
            </w:r>
          </w:p>
          <w:p w14:paraId="56D7B6B6" w14:textId="77777777" w:rsidR="00C70F4C" w:rsidRDefault="00483336">
            <w:pPr>
              <w:ind w:left="0"/>
              <w:jc w:val="both"/>
            </w:pPr>
            <w:proofErr w:type="spellStart"/>
            <w:r>
              <w:rPr>
                <w:b w:val="0"/>
                <w:color w:val="000000"/>
                <w:sz w:val="24"/>
              </w:rPr>
              <w:t>HematoVision</w:t>
            </w:r>
            <w:proofErr w:type="spellEnd"/>
          </w:p>
          <w:p w14:paraId="2C8959C2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via hospital systems, medical apps, or website.</w:t>
            </w:r>
          </w:p>
        </w:tc>
        <w:tc>
          <w:tcPr>
            <w:tcW w:w="164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2C4521B3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Chooses image upload option: file upload, camera capture from microscope, or connected lab device.</w:t>
            </w:r>
          </w:p>
        </w:tc>
        <w:tc>
          <w:tcPr>
            <w:tcW w:w="152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732A88AC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 xml:space="preserve">Reads </w:t>
            </w:r>
          </w:p>
          <w:p w14:paraId="41CA149D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classification output, cell type, and confidence level.</w:t>
            </w:r>
          </w:p>
        </w:tc>
        <w:tc>
          <w:tcPr>
            <w:tcW w:w="180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008594B2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Gets email/app notifications for follow-ups.</w:t>
            </w:r>
          </w:p>
        </w:tc>
        <w:tc>
          <w:tcPr>
            <w:tcW w:w="1856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1FA612FC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Gets regular reports and notifications tailored to patient history.</w:t>
            </w:r>
          </w:p>
        </w:tc>
      </w:tr>
      <w:tr w:rsidR="00C70F4C" w14:paraId="1FDC22FA" w14:textId="77777777">
        <w:trPr>
          <w:trHeight w:val="1730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6" w:space="0" w:color="600021"/>
            </w:tcBorders>
            <w:shd w:val="clear" w:color="auto" w:fill="B2B2B2"/>
            <w:vAlign w:val="center"/>
          </w:tcPr>
          <w:p w14:paraId="5DD4D3AD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>DIGITAL/</w:t>
            </w:r>
          </w:p>
          <w:p w14:paraId="48C98DFB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 xml:space="preserve">PHYSICAL </w:t>
            </w:r>
          </w:p>
          <w:p w14:paraId="7758B2DE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>TOUCHPOINTS</w:t>
            </w:r>
          </w:p>
        </w:tc>
        <w:tc>
          <w:tcPr>
            <w:tcW w:w="148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20D2E2F0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Hospital IT systems, app stores, medical software integrations.</w:t>
            </w:r>
          </w:p>
        </w:tc>
        <w:tc>
          <w:tcPr>
            <w:tcW w:w="164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5558E76E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Microscope camera, lab software portals, app upload screens.</w:t>
            </w:r>
          </w:p>
        </w:tc>
        <w:tc>
          <w:tcPr>
            <w:tcW w:w="152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4EB3436C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Web/app user interface with results dashboard.</w:t>
            </w:r>
          </w:p>
        </w:tc>
        <w:tc>
          <w:tcPr>
            <w:tcW w:w="180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4E2E659E" w14:textId="77777777" w:rsidR="00C70F4C" w:rsidRDefault="00483336">
            <w:pPr>
              <w:spacing w:line="226" w:lineRule="auto"/>
              <w:ind w:left="0"/>
            </w:pPr>
            <w:r>
              <w:rPr>
                <w:b w:val="0"/>
                <w:color w:val="000000"/>
                <w:sz w:val="24"/>
              </w:rPr>
              <w:t xml:space="preserve">Email alerts, app notifications, </w:t>
            </w:r>
          </w:p>
          <w:p w14:paraId="64FD4101" w14:textId="77777777" w:rsidR="00C70F4C" w:rsidRDefault="00483336">
            <w:pPr>
              <w:ind w:left="0"/>
              <w:jc w:val="both"/>
            </w:pPr>
            <w:r>
              <w:rPr>
                <w:b w:val="0"/>
                <w:color w:val="000000"/>
                <w:sz w:val="24"/>
              </w:rPr>
              <w:t>EHR integrations.</w:t>
            </w:r>
          </w:p>
        </w:tc>
        <w:tc>
          <w:tcPr>
            <w:tcW w:w="1856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62B39EB3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Email, app push notifications, EHR reports.</w:t>
            </w:r>
          </w:p>
        </w:tc>
      </w:tr>
      <w:tr w:rsidR="00C70F4C" w14:paraId="0E90F094" w14:textId="77777777">
        <w:trPr>
          <w:trHeight w:val="2004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6" w:space="0" w:color="600021"/>
            </w:tcBorders>
            <w:shd w:val="clear" w:color="auto" w:fill="B2B2B2"/>
            <w:vAlign w:val="center"/>
          </w:tcPr>
          <w:p w14:paraId="5B36A484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 xml:space="preserve">GOALS &amp; </w:t>
            </w:r>
          </w:p>
          <w:p w14:paraId="5A5231AB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>MOTIVATIONS</w:t>
            </w:r>
          </w:p>
        </w:tc>
        <w:tc>
          <w:tcPr>
            <w:tcW w:w="148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1E486589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 xml:space="preserve">Wants a faster, accurate way to </w:t>
            </w:r>
            <w:proofErr w:type="spellStart"/>
            <w:r>
              <w:rPr>
                <w:b w:val="0"/>
                <w:color w:val="000000"/>
                <w:sz w:val="24"/>
              </w:rPr>
              <w:t>analyze</w:t>
            </w:r>
            <w:proofErr w:type="spellEnd"/>
            <w:r>
              <w:rPr>
                <w:b w:val="0"/>
                <w:color w:val="000000"/>
                <w:sz w:val="24"/>
              </w:rPr>
              <w:t xml:space="preserve"> blood cells and reduce </w:t>
            </w:r>
            <w:r>
              <w:rPr>
                <w:b w:val="0"/>
                <w:color w:val="000000"/>
                <w:sz w:val="24"/>
              </w:rPr>
              <w:lastRenderedPageBreak/>
              <w:t>manual workload.</w:t>
            </w:r>
          </w:p>
        </w:tc>
        <w:tc>
          <w:tcPr>
            <w:tcW w:w="164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5A6BE846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lastRenderedPageBreak/>
              <w:t>Wants reliable assistance in identifying blood cell types quickly.</w:t>
            </w:r>
          </w:p>
        </w:tc>
        <w:tc>
          <w:tcPr>
            <w:tcW w:w="152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78BAA569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Wants high confidence and interpretability of AI results.</w:t>
            </w:r>
          </w:p>
        </w:tc>
        <w:tc>
          <w:tcPr>
            <w:tcW w:w="180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2B68A123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Wants proactive notifications to ensure timely patient care.</w:t>
            </w:r>
          </w:p>
        </w:tc>
        <w:tc>
          <w:tcPr>
            <w:tcW w:w="1856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67FA7615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Wants personalized insights for ongoing monitoring of patient health.</w:t>
            </w:r>
          </w:p>
        </w:tc>
      </w:tr>
      <w:tr w:rsidR="00C70F4C" w14:paraId="5C7265A6" w14:textId="77777777">
        <w:trPr>
          <w:trHeight w:val="1730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6" w:space="0" w:color="600021"/>
            </w:tcBorders>
            <w:shd w:val="clear" w:color="auto" w:fill="B2B2B2"/>
            <w:vAlign w:val="center"/>
          </w:tcPr>
          <w:p w14:paraId="696A1549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 xml:space="preserve">POSITIVE </w:t>
            </w:r>
          </w:p>
          <w:p w14:paraId="25BF8237" w14:textId="77777777" w:rsidR="00C70F4C" w:rsidRDefault="00483336">
            <w:pPr>
              <w:ind w:left="0"/>
            </w:pPr>
            <w:r>
              <w:rPr>
                <w:color w:val="000000"/>
                <w:sz w:val="24"/>
              </w:rPr>
              <w:t>MOMENTS</w:t>
            </w:r>
          </w:p>
        </w:tc>
        <w:tc>
          <w:tcPr>
            <w:tcW w:w="148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3EF332A6" w14:textId="77777777" w:rsidR="00C70F4C" w:rsidRDefault="00483336">
            <w:pPr>
              <w:spacing w:line="226" w:lineRule="auto"/>
              <w:ind w:left="0"/>
              <w:jc w:val="both"/>
            </w:pPr>
            <w:r>
              <w:rPr>
                <w:b w:val="0"/>
                <w:color w:val="000000"/>
                <w:sz w:val="24"/>
              </w:rPr>
              <w:t xml:space="preserve">Discovers a modern AI </w:t>
            </w:r>
          </w:p>
          <w:p w14:paraId="12EAECC3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tool that can save time and reduce errors in lab work.</w:t>
            </w:r>
          </w:p>
        </w:tc>
        <w:tc>
          <w:tcPr>
            <w:tcW w:w="164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5989C23D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Gets instant analysis with clear steps and minimal manual input.</w:t>
            </w:r>
          </w:p>
        </w:tc>
        <w:tc>
          <w:tcPr>
            <w:tcW w:w="152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14ED905B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Sees high accuracy and color-coded, easy-to-read results.</w:t>
            </w:r>
          </w:p>
        </w:tc>
        <w:tc>
          <w:tcPr>
            <w:tcW w:w="180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78C79FA3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Appreciates timely reminders for potential follow-up actions.</w:t>
            </w:r>
          </w:p>
        </w:tc>
        <w:tc>
          <w:tcPr>
            <w:tcW w:w="1856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1D443358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Values tailored reports helping improve patient outcomes.</w:t>
            </w:r>
          </w:p>
        </w:tc>
      </w:tr>
      <w:tr w:rsidR="00C70F4C" w14:paraId="5438730F" w14:textId="77777777">
        <w:trPr>
          <w:trHeight w:val="2002"/>
        </w:trPr>
        <w:tc>
          <w:tcPr>
            <w:tcW w:w="2102" w:type="dxa"/>
            <w:tcBorders>
              <w:top w:val="single" w:sz="4" w:space="0" w:color="BF0041"/>
              <w:left w:val="single" w:sz="4" w:space="0" w:color="BF0041"/>
              <w:bottom w:val="single" w:sz="4" w:space="0" w:color="BF0041"/>
              <w:right w:val="single" w:sz="6" w:space="0" w:color="600021"/>
            </w:tcBorders>
            <w:shd w:val="clear" w:color="auto" w:fill="B2B2B2"/>
            <w:vAlign w:val="center"/>
          </w:tcPr>
          <w:p w14:paraId="2BB2715D" w14:textId="77777777" w:rsidR="00C70F4C" w:rsidRDefault="00483336">
            <w:pPr>
              <w:ind w:left="0"/>
              <w:jc w:val="both"/>
            </w:pPr>
            <w:r>
              <w:rPr>
                <w:color w:val="000000"/>
                <w:sz w:val="24"/>
              </w:rPr>
              <w:t>OPPORTUNITIES</w:t>
            </w:r>
          </w:p>
        </w:tc>
        <w:tc>
          <w:tcPr>
            <w:tcW w:w="148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77B3D160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Partner with hospitals, labs, and medical conferences to increase awareness.</w:t>
            </w:r>
          </w:p>
        </w:tc>
        <w:tc>
          <w:tcPr>
            <w:tcW w:w="164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487452D9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Enable direct integration with lab devices and provide guidance on best photo quality.</w:t>
            </w:r>
          </w:p>
        </w:tc>
        <w:tc>
          <w:tcPr>
            <w:tcW w:w="152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</w:tcPr>
          <w:p w14:paraId="319B3C27" w14:textId="77777777" w:rsidR="00C70F4C" w:rsidRDefault="00483336">
            <w:pPr>
              <w:spacing w:line="226" w:lineRule="auto"/>
              <w:ind w:left="0"/>
            </w:pPr>
            <w:r>
              <w:rPr>
                <w:b w:val="0"/>
                <w:color w:val="000000"/>
                <w:sz w:val="24"/>
              </w:rPr>
              <w:t xml:space="preserve">Include probability/con </w:t>
            </w:r>
            <w:proofErr w:type="spellStart"/>
            <w:r>
              <w:rPr>
                <w:b w:val="0"/>
                <w:color w:val="000000"/>
                <w:sz w:val="24"/>
              </w:rPr>
              <w:t>fidence</w:t>
            </w:r>
            <w:proofErr w:type="spellEnd"/>
            <w:r>
              <w:rPr>
                <w:b w:val="0"/>
                <w:color w:val="000000"/>
                <w:sz w:val="24"/>
              </w:rPr>
              <w:t xml:space="preserve"> meters and </w:t>
            </w:r>
          </w:p>
          <w:p w14:paraId="2B5F7E88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explanation of possible uncertainties.</w:t>
            </w:r>
          </w:p>
        </w:tc>
        <w:tc>
          <w:tcPr>
            <w:tcW w:w="1808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0986037F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Offer multilingual support and adjustable notification settings.</w:t>
            </w:r>
          </w:p>
        </w:tc>
        <w:tc>
          <w:tcPr>
            <w:tcW w:w="1856" w:type="dxa"/>
            <w:tcBorders>
              <w:top w:val="single" w:sz="6" w:space="0" w:color="600021"/>
              <w:left w:val="single" w:sz="6" w:space="0" w:color="600021"/>
              <w:bottom w:val="single" w:sz="6" w:space="0" w:color="600021"/>
              <w:right w:val="single" w:sz="6" w:space="0" w:color="600021"/>
            </w:tcBorders>
            <w:shd w:val="clear" w:color="auto" w:fill="FFD7D7"/>
            <w:vAlign w:val="center"/>
          </w:tcPr>
          <w:p w14:paraId="7540DBAD" w14:textId="77777777" w:rsidR="00C70F4C" w:rsidRDefault="00483336">
            <w:pPr>
              <w:ind w:left="0"/>
            </w:pPr>
            <w:r>
              <w:rPr>
                <w:b w:val="0"/>
                <w:color w:val="000000"/>
                <w:sz w:val="24"/>
              </w:rPr>
              <w:t>Provide localized, patient-specific reports and integration with electronic health records (EHRs).</w:t>
            </w:r>
          </w:p>
        </w:tc>
      </w:tr>
    </w:tbl>
    <w:p w14:paraId="14A2DFFE" w14:textId="77777777" w:rsidR="00C70F4C" w:rsidRDefault="00C70F4C">
      <w:pPr>
        <w:sectPr w:rsidR="00C70F4C">
          <w:pgSz w:w="11906" w:h="16838"/>
          <w:pgMar w:top="1440" w:right="1440" w:bottom="1394" w:left="1440" w:header="720" w:footer="720" w:gutter="0"/>
          <w:cols w:space="720"/>
        </w:sectPr>
      </w:pPr>
    </w:p>
    <w:p w14:paraId="4777C912" w14:textId="77777777" w:rsidR="00C70F4C" w:rsidRDefault="00C70F4C">
      <w:pPr>
        <w:ind w:left="0"/>
      </w:pPr>
    </w:p>
    <w:sectPr w:rsidR="00C70F4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4C"/>
    <w:rsid w:val="001C1B1F"/>
    <w:rsid w:val="00483336"/>
    <w:rsid w:val="009C5482"/>
    <w:rsid w:val="00C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E5E3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304"/>
    </w:pPr>
    <w:rPr>
      <w:rFonts w:ascii="Calibri" w:eastAsia="Calibri" w:hAnsi="Calibri" w:cs="Calibri"/>
      <w:b/>
      <w:color w:val="BF004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8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</dc:creator>
  <cp:keywords/>
  <cp:lastModifiedBy>Nagendra P</cp:lastModifiedBy>
  <cp:revision>3</cp:revision>
  <dcterms:created xsi:type="dcterms:W3CDTF">2025-07-02T16:38:00Z</dcterms:created>
  <dcterms:modified xsi:type="dcterms:W3CDTF">2025-07-02T16:43:00Z</dcterms:modified>
</cp:coreProperties>
</file>