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GB MDM data flow</w:t>
      </w:r>
    </w:p>
    <w:p>
      <w:pPr>
        <w:spacing w:after="240"/>
      </w:pPr>
      <w:r>
        <w:rPr>
          <w:rFonts w:ascii="Arial" w:cs="Arial" w:eastAsia="Arial" w:hAnsi="Arial"/>
          <w:color w:val="5F5E5A"/>
          <w:sz w:val="20"/>
          <w:szCs w:val="20"/>
        </w:rPr>
        <w:t xml:space="preserve">As of September 26, 2026</w:t>
      </w:r>
    </w:p>
    <w:p>
      <w:pPr>
        <w:pStyle w:val="Heading2"/>
      </w:pPr>
      <w:r>
        <w:t xml:space="preserve">Overview</w:t>
      </w:r>
    </w:p>
    <w:p>
      <w:pPr>
        <w:spacing w:after="120"/>
      </w:pPr>
      <w:r>
        <w:rPr>
          <w:rFonts w:ascii="Arial" w:cs="Arial" w:eastAsia="Arial" w:hAnsi="Arial"/>
          <w:sz w:val="22"/>
          <w:szCs w:val="22"/>
        </w:rPr>
        <w:t xml:space="preserve">GB customer data moves through four zones: Mongo DB, GB DL curation, Informatica MDM SaaS (GB spoke and MDM hub) and Ops DL curation. Two paths start at the preunified customer collection. The change feed loads the unified customer Mongo collection. The UNIFICATION path runs through the GB spoke into the unified customer delta table, then through the MDM hub into three Ops DL hops that feed Salesforce and the search indexes.</w:t>
      </w:r>
    </w:p>
    <w:p>
      <w:pPr>
        <w:spacing w:after="120"/>
      </w:pPr>
      <w:r>
        <w:rPr>
          <w:rFonts w:ascii="Arial" w:cs="Arial" w:eastAsia="Arial" w:hAnsi="Arial"/>
          <w:sz w:val="22"/>
          <w:szCs w:val="22"/>
        </w:rPr>
        <w:t xml:space="preserve">Ingress and egress are named from Informatica's point of view: files sent into the spoke or hub are ingress, files it sends back are egress.</w:t>
      </w:r>
    </w:p>
    <w:p>
      <w:pPr>
        <w:pStyle w:val="Heading2"/>
      </w:pPr>
      <w:r>
        <w:t xml:space="preserve">MDM side: upstream to MDM hub</w:t>
      </w:r>
    </w:p>
    <w:p>
      <w:pPr>
        <w:spacing w:after="120"/>
      </w:pPr>
      <w:r>
        <w:rPr>
          <w:rFonts w:ascii="Arial" w:cs="Arial" w:eastAsia="Arial" w:hAnsi="Arial"/>
          <w:sz w:val="22"/>
          <w:szCs w:val="22"/>
        </w:rPr>
        <w:t xml:space="preserve">The unified customer delta table is fed only by the GB spoke route: the customer profile file goes into the spoke, and its GB consolidated egress is joined with policy. The change feed loads only the unified customer Mongo collection.</w:t>
      </w:r>
    </w:p>
    <w:p>
      <w:pPr>
        <w:spacing w:after="120" w:before="120"/>
        <w:jc w:val="center"/>
      </w:pPr>
      <w:r>
        <w:drawing>
          <wp:inline distT="0" distB="0" distL="0" distR="0">
            <wp:extent cx="5943600" cy="6067425"/>
            <wp:effectExtent t="0" r="0" b="0" l="0"/>
            <wp:docPr id="1" name="mdm_side" descr="mdm_side" title="mdm_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5943600" cy="6067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666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18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Masking</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Upstream data loads the preunified customer and policy Mongo collections. LOB is parsed and REC_TYPE is set (UNIFICATION / NON UNIFICATION).</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Change feed joins preunified + policy and loads the unified customer Mongo collection. It does not feed the unified customer delta table.</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 in PLAB</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Unified customer Mongo serves the Mongo customer index and the MDM Customer API.</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 in PLAB</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Preunified UNIFICATION records are written to the customer profile parquet file (GB spoke ingress).</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Informatica MDM SaaS runs match and merge in the GB spoke and returns the GB consolidated customer parquet file (spoke egress).</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The GB consolidated egress is joined with the policy delta table and inserted into the unified customer delta table (GB DL).</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Proposed (Siva): Old Delta table applies ITF filtering, identifies uncons, enriches with policy and loads unmasked uncons into the unified customer delta table.</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The unified customer delta table generates the single view customer file (hub ingress).</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9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66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The MDM hub processes it and returns the single view transient customer file (hub egress) to Ops DL.</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bl>
    <w:p>
      <w:pPr>
        <w:pStyle w:val="Heading2"/>
      </w:pPr>
      <w:r>
        <w:t xml:space="preserve">Ops DL: three hops and the search indexes</w:t>
      </w:r>
    </w:p>
    <w:p>
      <w:pPr>
        <w:spacing w:after="120"/>
      </w:pPr>
      <w:r>
        <w:rPr>
          <w:rFonts w:ascii="Arial" w:cs="Arial" w:eastAsia="Arial" w:hAnsi="Arial"/>
          <w:sz w:val="22"/>
          <w:szCs w:val="22"/>
        </w:rPr>
        <w:t xml:space="preserve">The hub egress file loads three Ops DL hops in order: single view table, consolidated customer, then consolidated customer transient. Transient pulls from consolidated customer and feeds Salesforce and the existing AI search index separately.</w:t>
      </w:r>
    </w:p>
    <w:p>
      <w:pPr>
        <w:spacing w:after="120" w:before="120"/>
        <w:jc w:val="center"/>
      </w:pPr>
      <w:r>
        <w:drawing>
          <wp:inline distT="0" distB="0" distL="0" distR="0">
            <wp:extent cx="5943600" cy="4533900"/>
            <wp:effectExtent t="0" r="0" b="0" l="0"/>
            <wp:docPr id="1" name="ops_dl" descr="ops_dl" title="ops_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943600" cy="45339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Hop</w:t>
            </w:r>
          </w:p>
        </w:tc>
        <w:tc>
          <w:tcPr>
            <w:tcW w:type="dxa" w:w="626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18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Masking</w:t>
            </w:r>
          </w:p>
        </w:tc>
      </w:tr>
      <w:tr>
        <w:tc>
          <w:tcPr>
            <w:tcW w:type="dxa" w:w="13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Hop 1</w:t>
            </w:r>
          </w:p>
        </w:tc>
        <w:tc>
          <w:tcPr>
            <w:tcW w:type="dxa" w:w="62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Single view table: loaded from the hub egress file. Merges and deletion of non-surviving MDM customer IDs happen here.</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13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Hop 2</w:t>
            </w:r>
          </w:p>
        </w:tc>
        <w:tc>
          <w:tcPr>
            <w:tcW w:type="dxa" w:w="62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Consolidated customer: all spokes, consolidated data.</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r>
        <w:tc>
          <w:tcPr>
            <w:tcW w:type="dxa" w:w="13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Hop 3</w:t>
            </w:r>
          </w:p>
        </w:tc>
        <w:tc>
          <w:tcPr>
            <w:tcW w:type="dxa" w:w="62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Consolidated customer transient: pulls from consolidated customer, keeps only spokes sent to Salesforce.</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w:t>
            </w:r>
          </w:p>
        </w:tc>
      </w:tr>
      <w:tr>
        <w:tc>
          <w:tcPr>
            <w:tcW w:type="dxa" w:w="13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Out</w:t>
            </w:r>
          </w:p>
        </w:tc>
        <w:tc>
          <w:tcPr>
            <w:tcW w:type="dxa" w:w="62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Transient feeds Salesforce and the existing AI search index as separate branches.</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w:t>
            </w:r>
          </w:p>
        </w:tc>
      </w:tr>
      <w:tr>
        <w:tc>
          <w:tcPr>
            <w:tcW w:type="dxa" w:w="13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Proposed</w:t>
            </w:r>
          </w:p>
        </w:tc>
        <w:tc>
          <w:tcPr>
            <w:tcW w:type="dxa" w:w="62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Combined dataframe: consolidated customer + all uncons and org, written as JSONs for a new unified search index that includes GB.</w:t>
            </w:r>
          </w:p>
        </w:tc>
        <w:tc>
          <w:tcPr>
            <w:tcW w:type="dxa" w:w="18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r>
    </w:tbl>
    <w:p>
      <w:pPr>
        <w:pStyle w:val="Heading2"/>
      </w:pPr>
      <w:r>
        <w:t xml:space="preserve">Masking zones in PLAB</w:t>
      </w:r>
    </w:p>
    <w:p>
      <w:pPr>
        <w:spacing w:after="120"/>
      </w:pPr>
      <w:r>
        <w:rPr>
          <w:rFonts w:ascii="Arial" w:cs="Arial" w:eastAsia="Arial" w:hAnsi="Arial"/>
          <w:sz w:val="22"/>
          <w:szCs w:val="22"/>
        </w:rPr>
        <w:t xml:space="preserve">Masking in PLAB applies at two points: the unified customer Mongo collection, and the transient hop in Ops 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160"/>
        <w:gridCol w:w="2000"/>
      </w:tblGrid>
      <w:tr>
        <w:trPr>
          <w:tblHeader/>
        </w:trPr>
        <w:tc>
          <w:tcPr>
            <w:tcW w:type="dxa" w:w="26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Object</w:t>
            </w:r>
          </w:p>
        </w:tc>
        <w:tc>
          <w:tcPr>
            <w:tcW w:type="dxa" w:w="16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Zone</w:t>
            </w:r>
          </w:p>
        </w:tc>
        <w:tc>
          <w:tcPr>
            <w:tcW w:type="dxa" w:w="316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Masking</w:t>
            </w:r>
          </w:p>
        </w:tc>
        <w:tc>
          <w:tcPr>
            <w:tcW w:type="dxa" w:w="2000"/>
            <w:tcBorders>
              <w:top w:val="single" w:color="B4B2A9" w:sz="4"/>
              <w:left w:val="single" w:color="B4B2A9" w:sz="4"/>
              <w:bottom w:val="single" w:color="B4B2A9" w:sz="4"/>
              <w:right w:val="single" w:color="B4B2A9" w:sz="4"/>
            </w:tcBorders>
            <w:shd w:fill="F1EFE8" w:color="auto"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Preunified customer</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Mongo DB</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 today (release 2 load bug), to be rebuilt unmasked</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Siva, Divya</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Unified customer collection</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Mongo DB</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 in PLAB</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Walkthrough</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Mongo customer index + Customer API</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Mongo DB</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 in PLAB</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Walkthrough</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Unified customer delta</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GB DL curation</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Siva</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Single view table</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Ops DL</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Inferred from consolidated customer</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Consolidated customer</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Ops DL</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 all spokes</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Divya</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Consolidated customer transient</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Ops DL</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 SF spokes only</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Divya</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Salesforce + AI search index</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Masked</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Divya</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Unified search index (proposed)</w:t>
            </w:r>
          </w:p>
        </w:tc>
        <w:tc>
          <w:tcPr>
            <w:tcW w:type="dxa" w:w="16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3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Unmasked, includes GB</w:t>
            </w:r>
          </w:p>
        </w:tc>
        <w:tc>
          <w:tcPr>
            <w:tcW w:type="dxa" w:w="20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rFonts w:ascii="Arial" w:cs="Arial" w:eastAsia="Arial" w:hAnsi="Arial"/>
                <w:b w:val="false"/>
                <w:bCs w:val="false"/>
                <w:sz w:val="20"/>
                <w:szCs w:val="20"/>
              </w:rPr>
              <w:t xml:space="preserve">Divya</w:t>
            </w:r>
          </w:p>
        </w:tc>
      </w:tr>
    </w:tbl>
    <w:p>
      <w:pPr>
        <w:pStyle w:val="Heading2"/>
      </w:pPr>
      <w:r>
        <w:t xml:space="preserve">Open items</w:t>
      </w:r>
    </w:p>
    <w:p>
      <w:pPr>
        <w:pStyle w:val="ListParagraph"/>
        <w:numPr>
          <w:ilvl w:val="0"/>
          <w:numId w:val="2"/>
        </w:numPr>
        <w:spacing w:after="60"/>
      </w:pPr>
      <w:r>
        <w:rPr>
          <w:rFonts w:ascii="Arial" w:cs="Arial" w:eastAsia="Arial" w:hAnsi="Arial"/>
          <w:sz w:val="22"/>
          <w:szCs w:val="22"/>
        </w:rPr>
        <w:t xml:space="preserve">Where do the uncons and org records for the unified search index come from? (Divya)</w:t>
      </w:r>
    </w:p>
    <w:p>
      <w:pPr>
        <w:pStyle w:val="ListParagraph"/>
        <w:numPr>
          <w:ilvl w:val="0"/>
          <w:numId w:val="2"/>
        </w:numPr>
        <w:spacing w:after="60"/>
      </w:pPr>
      <w:r>
        <w:rPr>
          <w:rFonts w:ascii="Arial" w:cs="Arial" w:eastAsia="Arial" w:hAnsi="Arial"/>
          <w:sz w:val="22"/>
          <w:szCs w:val="22"/>
        </w:rPr>
        <w:t xml:space="preserve">Is Siva's Old Delta load of unmasked uncons still planned, and is it one-time or ongoing? (Siva)</w:t>
      </w:r>
    </w:p>
    <w:p>
      <w:pPr>
        <w:pStyle w:val="ListParagraph"/>
        <w:numPr>
          <w:ilvl w:val="0"/>
          <w:numId w:val="2"/>
        </w:numPr>
        <w:spacing w:after="60"/>
      </w:pPr>
      <w:r>
        <w:rPr>
          <w:rFonts w:ascii="Arial" w:cs="Arial" w:eastAsia="Arial" w:hAnsi="Arial"/>
          <w:sz w:val="22"/>
          <w:szCs w:val="22"/>
        </w:rPr>
        <w:t xml:space="preserve">Confirm the masking point: applied when transient pulls from consolidated customer?</w:t>
      </w:r>
    </w:p>
    <w:p>
      <w:pPr>
        <w:pStyle w:val="ListParagraph"/>
        <w:numPr>
          <w:ilvl w:val="0"/>
          <w:numId w:val="2"/>
        </w:numPr>
        <w:spacing w:after="60"/>
      </w:pPr>
      <w:r>
        <w:rPr>
          <w:rFonts w:ascii="Arial" w:cs="Arial" w:eastAsia="Arial" w:hAnsi="Arial"/>
          <w:sz w:val="22"/>
          <w:szCs w:val="22"/>
        </w:rPr>
        <w:t xml:space="preserve">Confirm the index type for the AI search and unified search indexes (Azure AI Search?)</w:t>
      </w:r>
    </w:p>
    <w:p>
      <w:pPr>
        <w:pStyle w:val="ListParagraph"/>
        <w:numPr>
          <w:ilvl w:val="0"/>
          <w:numId w:val="2"/>
        </w:numPr>
        <w:spacing w:after="60"/>
      </w:pPr>
      <w:r>
        <w:rPr>
          <w:rFonts w:ascii="Arial" w:cs="Arial" w:eastAsia="Arial" w:hAnsi="Arial"/>
          <w:sz w:val="22"/>
          <w:szCs w:val="22"/>
        </w:rPr>
        <w:t xml:space="preserve">Build the GB to hub pipeline for unique ID once Srinivas is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00c053d64f62408fed5f0291b39995ce200fbf.svg"/><Relationship Id="rId8" Type="http://schemas.openxmlformats.org/officeDocument/2006/relationships/image" Target="media/dea94cdadf23f515ba6c9ea7299be44b5c8f2267.png"/><Relationship Id="rId9" Type="http://schemas.openxmlformats.org/officeDocument/2006/relationships/image" Target="media/7b6039450806bd3269e547fa38ecf168b420ddb9.svg"/><Relationship Id="rId10" Type="http://schemas.openxmlformats.org/officeDocument/2006/relationships/image" Target="media/71056284c47149669fe24e368c158472b57554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2026-09-26T17:31:29.869Z</dcterms:created>
  <dcterms:modified xsi:type="dcterms:W3CDTF">2026-09-26T17:31:29.881Z</dcterms:modified>
</cp:coreProperties>
</file>

<file path=docProps/custom.xml><?xml version="1.0" encoding="utf-8"?>
<Properties xmlns="http://schemas.openxmlformats.org/officeDocument/2006/custom-properties" xmlns:vt="http://schemas.openxmlformats.org/officeDocument/2006/docPropsVTypes"/>
</file>