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caps/>
          <w:color w:val="2456A6"/>
          <w:sz w:val="16"/>
          <w:szCs w:val="16"/>
        </w:rPr>
        <w:t xml:space="preserve">SYSTEM ARCHITECTURE · REV B</w:t>
      </w:r>
    </w:p>
    <w:p>
      <w:pPr>
        <w:pStyle w:val="Heading1"/>
        <w:spacing w:after="80"/>
      </w:pPr>
      <w:r>
        <w:rPr>
          <w:rFonts w:ascii="Segoe UI" w:cs="Segoe UI" w:eastAsia="Segoe UI" w:hAnsi="Segoe UI"/>
          <w:b/>
          <w:bCs/>
          <w:color w:val="17222E"/>
          <w:sz w:val="44"/>
          <w:szCs w:val="44"/>
        </w:rPr>
        <w:t xml:space="preserve">MDM Integration Pipeline</w:t>
      </w:r>
    </w:p>
    <w:p>
      <w:pPr>
        <w:spacing w:after="240"/>
      </w:pPr>
      <w:r>
        <w:rPr>
          <w:rFonts w:ascii="Segoe UI" w:cs="Segoe UI" w:eastAsia="Segoe UI" w:hAnsi="Segoe UI"/>
          <w:color w:val="5D6B77"/>
          <w:sz w:val="20"/>
          <w:szCs w:val="20"/>
        </w:rPr>
        <w:t xml:space="preserve">Master data flows from Manuconnect through Kafka/NiFi ingestion into the MDM Platform, where records are processed, persisted, and published outbound to Salesforce. Points of contact for each layer are listed below the diagram.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tcBorders>
              <w:top w:val="single" w:color="17222E" w:sz="12"/>
              <w:left w:val="single" w:color="17222E" w:sz="12"/>
              <w:bottom w:val="single" w:color="17222E" w:sz="12"/>
              <w:right w:val="single" w:color="17222E" w:sz="12"/>
            </w:tcBorders>
            <w:shd w:fill="FFFFFF" w:val="clear"/>
          </w:tcPr>
          <w:p>
            <w:pPr>
              <w:spacing w:after="20" w:before="8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222E"/>
                <w:sz w:val="24"/>
                <w:szCs w:val="24"/>
              </w:rPr>
              <w:t xml:space="preserve">Manuconnect</w:t>
            </w:r>
          </w:p>
          <w:p>
            <w:pPr>
              <w:spacing w:after="80"/>
              <w:jc w:val="center"/>
            </w:pPr>
            <w:r>
              <w:rPr>
                <w:rFonts w:ascii="Consolas" w:cs="Consolas" w:eastAsia="Consolas" w:hAnsi="Consolas"/>
                <w:caps/>
                <w:color w:val="5D6B77"/>
                <w:sz w:val="15"/>
                <w:szCs w:val="15"/>
              </w:rPr>
              <w:t xml:space="preserve">Source System · POC: Sara Maity</w:t>
            </w:r>
          </w:p>
        </w:tc>
      </w:tr>
    </w:tbl>
    <w:p>
      <w:pPr>
        <w:spacing w:after="60" w:before="60"/>
        <w:jc w:val="center"/>
      </w:pPr>
      <w:r>
        <w:rPr>
          <w:rFonts w:ascii="Segoe UI" w:cs="Segoe UI" w:eastAsia="Segoe UI" w:hAnsi="Segoe UI"/>
          <w:color w:val="2456A6"/>
          <w:sz w:val="22"/>
          <w:szCs w:val="22"/>
        </w:rPr>
        <w:t xml:space="preserve">▼</w:t>
      </w:r>
      <w:r>
        <w:rPr>
          <w:rFonts w:ascii="Consolas" w:cs="Consolas" w:eastAsia="Consolas" w:hAnsi="Consolas"/>
          <w:i/>
          <w:iCs/>
          <w:color w:val="2456A6"/>
          <w:sz w:val="16"/>
          <w:szCs w:val="16"/>
        </w:rPr>
        <w:t xml:space="preserve">  event stream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tcBorders>
              <w:top w:val="single" w:color="2456A6" w:sz="12"/>
              <w:left w:val="single" w:color="2456A6" w:sz="12"/>
              <w:bottom w:val="single" w:color="2456A6" w:sz="12"/>
              <w:right w:val="single" w:color="2456A6" w:sz="12"/>
            </w:tcBorders>
            <w:shd w:fill="DCE6F5" w:val="clear"/>
          </w:tcPr>
          <w:p>
            <w:pPr>
              <w:spacing w:after="20" w:before="8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222E"/>
                <w:sz w:val="24"/>
                <w:szCs w:val="24"/>
              </w:rPr>
              <w:t xml:space="preserve">Kafka / NiFi</w:t>
            </w:r>
          </w:p>
          <w:p>
            <w:pPr>
              <w:spacing w:after="80"/>
              <w:jc w:val="center"/>
            </w:pPr>
            <w:r>
              <w:rPr>
                <w:rFonts w:ascii="Consolas" w:cs="Consolas" w:eastAsia="Consolas" w:hAnsi="Consolas"/>
                <w:caps/>
                <w:color w:val="5D6B77"/>
                <w:sz w:val="15"/>
                <w:szCs w:val="15"/>
              </w:rPr>
              <w:t xml:space="preserve">Streaming &amp; Data Flow · POC: Thilak / Vikash Kumar (GB Team)</w:t>
            </w:r>
          </w:p>
        </w:tc>
      </w:tr>
    </w:tbl>
    <w:p>
      <w:pPr>
        <w:spacing w:after="60" w:before="60"/>
        <w:jc w:val="center"/>
      </w:pPr>
      <w:r>
        <w:rPr>
          <w:rFonts w:ascii="Segoe UI" w:cs="Segoe UI" w:eastAsia="Segoe UI" w:hAnsi="Segoe UI"/>
          <w:color w:val="2456A6"/>
          <w:sz w:val="22"/>
          <w:szCs w:val="22"/>
        </w:rPr>
        <w:t xml:space="preserve">▼</w:t>
      </w:r>
      <w:r>
        <w:rPr>
          <w:rFonts w:ascii="Consolas" w:cs="Consolas" w:eastAsia="Consolas" w:hAnsi="Consolas"/>
          <w:i/>
          <w:iCs/>
          <w:color w:val="2456A6"/>
          <w:sz w:val="16"/>
          <w:szCs w:val="16"/>
        </w:rPr>
        <w:t xml:space="preserve">  inbound topic</w:t>
      </w:r>
    </w:p>
    <w:p>
      <w:pPr>
        <w:spacing w:after="40" w:before="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dashed" w:color="5E6B60" w:sz="12"/>
              <w:left w:val="dashed" w:color="5E6B60" w:sz="12"/>
              <w:bottom w:val="none" w:color="EEF1EE" w:sz="0"/>
              <w:right w:val="dashed" w:color="5E6B60" w:sz="12"/>
            </w:tcBorders>
            <w:shd w:fill="EEF1EE" w:val="clear"/>
          </w:tcPr>
          <w:p>
            <w:pPr>
              <w:spacing w:after="60" w:before="80"/>
              <w:jc w:val="center"/>
            </w:pPr>
            <w:r>
              <w:rPr>
                <w:rFonts w:ascii="Consolas" w:cs="Consolas" w:eastAsia="Consolas" w:hAnsi="Consolas"/>
                <w:b/>
                <w:bCs/>
                <w:caps/>
                <w:color w:val="5E6B60"/>
                <w:sz w:val="20"/>
                <w:szCs w:val="20"/>
              </w:rPr>
              <w:t xml:space="preserve">MDM PLATFORM</w:t>
            </w:r>
          </w:p>
        </w:tc>
      </w:tr>
      <w:tr>
        <w:tc>
          <w:tcPr>
            <w:tcW w:type="dxa" w:w="5400"/>
            <w:tcBorders>
              <w:top w:val="none" w:color="EEF1EE" w:sz="0"/>
              <w:left w:val="dashed" w:color="5E6B60" w:sz="12"/>
              <w:bottom w:val="none" w:color="EEF1EE" w:sz="0"/>
              <w:right w:val="dashed" w:color="5E6B60" w:sz="12"/>
            </w:tcBorders>
            <w:shd w:fill="EEF1EE" w:val="clear"/>
            <w:tcMar>
              <w:top w:type="dxa" w:w="40"/>
              <w:left w:type="dxa" w:w="600"/>
              <w:bottom w:type="dxa" w:w="40"/>
              <w:right w:type="dxa" w:w="600"/>
            </w:tcMar>
          </w:tcPr>
          <w:tbl>
            <w:tblPr>
              <w:tblW w:type="dxa" w:w="42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2456A6" w:sz="12"/>
                    <w:left w:val="single" w:color="2456A6" w:sz="12"/>
                    <w:bottom w:val="single" w:color="2456A6" w:sz="12"/>
                    <w:right w:val="single" w:color="2456A6" w:sz="12"/>
                  </w:tcBorders>
                  <w:shd w:fill="DCE6F5" w:val="clear"/>
                </w:tcPr>
                <w:p>
                  <w:pPr>
                    <w:spacing w:after="20" w:before="8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7222E"/>
                      <w:sz w:val="24"/>
                      <w:szCs w:val="24"/>
                    </w:rPr>
                    <w:t xml:space="preserve">Event Hub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Consolas" w:cs="Consolas" w:eastAsia="Consolas" w:hAnsi="Consolas"/>
                      <w:caps/>
                      <w:color w:val="5D6B77"/>
                      <w:sz w:val="15"/>
                      <w:szCs w:val="15"/>
                    </w:rPr>
                    <w:t xml:space="preserve">Inbound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c>
          <w:tcPr>
            <w:tcW w:type="dxa" w:w="5400"/>
            <w:tcBorders>
              <w:top w:val="none" w:color="EEF1EE" w:sz="0"/>
              <w:left w:val="dashed" w:color="5E6B60" w:sz="12"/>
              <w:bottom w:val="none" w:color="EEF1EE" w:sz="0"/>
              <w:right w:val="dashed" w:color="5E6B60" w:sz="12"/>
            </w:tcBorders>
            <w:shd w:fill="EEF1EE" w:val="clea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2456A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5400"/>
            <w:tcBorders>
              <w:top w:val="none" w:color="EEF1EE" w:sz="0"/>
              <w:left w:val="dashed" w:color="5E6B60" w:sz="12"/>
              <w:bottom w:val="none" w:color="EEF1EE" w:sz="0"/>
              <w:right w:val="dashed" w:color="5E6B60" w:sz="12"/>
            </w:tcBorders>
            <w:shd w:fill="EEF1EE" w:val="clear"/>
            <w:tcMar>
              <w:top w:type="dxa" w:w="40"/>
              <w:left w:type="dxa" w:w="600"/>
              <w:bottom w:type="dxa" w:w="40"/>
              <w:right w:type="dxa" w:w="600"/>
            </w:tcMar>
          </w:tcPr>
          <w:tbl>
            <w:tblPr>
              <w:tblW w:type="dxa" w:w="42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17222E" w:sz="12"/>
                    <w:left w:val="single" w:color="17222E" w:sz="12"/>
                    <w:bottom w:val="single" w:color="17222E" w:sz="12"/>
                    <w:right w:val="single" w:color="17222E" w:sz="12"/>
                  </w:tcBorders>
                  <w:shd w:fill="FFFFFF" w:val="clear"/>
                </w:tcPr>
                <w:p>
                  <w:pPr>
                    <w:spacing w:after="20" w:before="8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7222E"/>
                      <w:sz w:val="24"/>
                      <w:szCs w:val="24"/>
                    </w:rPr>
                    <w:t xml:space="preserve">MDM Processing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Consolas" w:cs="Consolas" w:eastAsia="Consolas" w:hAnsi="Consolas"/>
                      <w:caps/>
                      <w:color w:val="5D6B77"/>
                      <w:sz w:val="15"/>
                      <w:szCs w:val="15"/>
                    </w:rPr>
                    <w:t xml:space="preserve">Match · Merge · Govern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c>
          <w:tcPr>
            <w:tcW w:type="dxa" w:w="5400"/>
            <w:tcBorders>
              <w:top w:val="none" w:color="EEF1EE" w:sz="0"/>
              <w:left w:val="dashed" w:color="5E6B60" w:sz="12"/>
              <w:bottom w:val="none" w:color="EEF1EE" w:sz="0"/>
              <w:right w:val="dashed" w:color="5E6B60" w:sz="12"/>
            </w:tcBorders>
            <w:shd w:fill="EEF1EE" w:val="clea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2456A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5400"/>
            <w:tcBorders>
              <w:top w:val="none" w:color="EEF1EE" w:sz="0"/>
              <w:left w:val="dashed" w:color="5E6B60" w:sz="12"/>
              <w:bottom w:val="none" w:color="EEF1EE" w:sz="0"/>
              <w:right w:val="dashed" w:color="5E6B60" w:sz="12"/>
            </w:tcBorders>
            <w:shd w:fill="EEF1EE" w:val="clear"/>
            <w:tcMar>
              <w:top w:type="dxa" w:w="40"/>
              <w:left w:type="dxa" w:w="600"/>
              <w:bottom w:type="dxa" w:w="40"/>
              <w:right w:type="dxa" w:w="600"/>
            </w:tcMar>
          </w:tcPr>
          <w:tbl>
            <w:tblPr>
              <w:tblW w:type="dxa" w:w="42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B4632A" w:sz="12"/>
                    <w:left w:val="single" w:color="B4632A" w:sz="12"/>
                    <w:bottom w:val="single" w:color="B4632A" w:sz="12"/>
                    <w:right w:val="single" w:color="B4632A" w:sz="12"/>
                  </w:tcBorders>
                  <w:shd w:fill="F6E7DA" w:val="clear"/>
                </w:tcPr>
                <w:p>
                  <w:pPr>
                    <w:spacing w:after="20" w:before="8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7222E"/>
                      <w:sz w:val="24"/>
                      <w:szCs w:val="24"/>
                    </w:rPr>
                    <w:t xml:space="preserve">MongoDB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Consolas" w:cs="Consolas" w:eastAsia="Consolas" w:hAnsi="Consolas"/>
                      <w:caps/>
                      <w:color w:val="5D6B77"/>
                      <w:sz w:val="15"/>
                      <w:szCs w:val="15"/>
                    </w:rPr>
                    <w:t xml:space="preserve">Master Data Store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c>
          <w:tcPr>
            <w:tcW w:type="dxa" w:w="5400"/>
            <w:tcBorders>
              <w:top w:val="none" w:color="EEF1EE" w:sz="0"/>
              <w:left w:val="dashed" w:color="5E6B60" w:sz="12"/>
              <w:bottom w:val="none" w:color="EEF1EE" w:sz="0"/>
              <w:right w:val="dashed" w:color="5E6B60" w:sz="12"/>
            </w:tcBorders>
            <w:shd w:fill="EEF1EE" w:val="clea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2456A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5400"/>
            <w:tcBorders>
              <w:top w:val="none" w:color="EEF1EE" w:sz="0"/>
              <w:left w:val="dashed" w:color="5E6B60" w:sz="12"/>
              <w:bottom w:val="none" w:color="EEF1EE" w:sz="0"/>
              <w:right w:val="dashed" w:color="5E6B60" w:sz="12"/>
            </w:tcBorders>
            <w:shd w:fill="EEF1EE" w:val="clear"/>
            <w:tcMar>
              <w:top w:type="dxa" w:w="40"/>
              <w:left w:type="dxa" w:w="600"/>
              <w:bottom w:type="dxa" w:w="40"/>
              <w:right w:type="dxa" w:w="600"/>
            </w:tcMar>
          </w:tcPr>
          <w:tbl>
            <w:tblPr>
              <w:tblW w:type="dxa" w:w="42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17222E" w:sz="12"/>
                    <w:left w:val="single" w:color="17222E" w:sz="12"/>
                    <w:bottom w:val="single" w:color="17222E" w:sz="12"/>
                    <w:right w:val="single" w:color="17222E" w:sz="12"/>
                  </w:tcBorders>
                  <w:shd w:fill="FFFFFF" w:val="clear"/>
                </w:tcPr>
                <w:p>
                  <w:pPr>
                    <w:spacing w:after="20" w:before="8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7222E"/>
                      <w:sz w:val="24"/>
                      <w:szCs w:val="24"/>
                    </w:rPr>
                    <w:t xml:space="preserve">Publisher Service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Consolas" w:cs="Consolas" w:eastAsia="Consolas" w:hAnsi="Consolas"/>
                      <w:caps/>
                      <w:color w:val="5D6B77"/>
                      <w:sz w:val="15"/>
                      <w:szCs w:val="15"/>
                    </w:rPr>
                    <w:t xml:space="preserve">Change Publication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c>
          <w:tcPr>
            <w:tcW w:type="dxa" w:w="5400"/>
            <w:tcBorders>
              <w:top w:val="none" w:color="EEF1EE" w:sz="0"/>
              <w:left w:val="dashed" w:color="5E6B60" w:sz="12"/>
              <w:bottom w:val="none" w:color="EEF1EE" w:sz="0"/>
              <w:right w:val="dashed" w:color="5E6B60" w:sz="12"/>
            </w:tcBorders>
            <w:shd w:fill="EEF1EE" w:val="clea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2456A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5400"/>
            <w:tcBorders>
              <w:top w:val="none" w:color="EEF1EE" w:sz="0"/>
              <w:left w:val="dashed" w:color="5E6B60" w:sz="12"/>
              <w:bottom w:val="none" w:color="EEF1EE" w:sz="0"/>
              <w:right w:val="dashed" w:color="5E6B60" w:sz="12"/>
            </w:tcBorders>
            <w:shd w:fill="EEF1EE" w:val="clear"/>
            <w:tcMar>
              <w:top w:type="dxa" w:w="40"/>
              <w:left w:type="dxa" w:w="600"/>
              <w:bottom w:type="dxa" w:w="40"/>
              <w:right w:type="dxa" w:w="600"/>
            </w:tcMar>
          </w:tcPr>
          <w:tbl>
            <w:tblPr>
              <w:tblW w:type="dxa" w:w="42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2456A6" w:sz="12"/>
                    <w:left w:val="single" w:color="2456A6" w:sz="12"/>
                    <w:bottom w:val="single" w:color="2456A6" w:sz="12"/>
                    <w:right w:val="single" w:color="2456A6" w:sz="12"/>
                  </w:tcBorders>
                  <w:shd w:fill="DCE6F5" w:val="clear"/>
                </w:tcPr>
                <w:p>
                  <w:pPr>
                    <w:spacing w:after="20" w:before="8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7222E"/>
                      <w:sz w:val="24"/>
                      <w:szCs w:val="24"/>
                    </w:rPr>
                    <w:t xml:space="preserve">Event Hub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Consolas" w:cs="Consolas" w:eastAsia="Consolas" w:hAnsi="Consolas"/>
                      <w:caps/>
                      <w:color w:val="5D6B77"/>
                      <w:sz w:val="15"/>
                      <w:szCs w:val="15"/>
                    </w:rPr>
                    <w:t xml:space="preserve">Outbound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c>
          <w:tcPr>
            <w:tcW w:type="dxa" w:w="5400"/>
            <w:tcBorders>
              <w:top w:val="none" w:color="EEF1EE" w:sz="0"/>
              <w:left w:val="dashed" w:color="5E6B60" w:sz="12"/>
              <w:bottom w:val="dashed" w:color="5E6B60" w:sz="12"/>
              <w:right w:val="dashed" w:color="5E6B60" w:sz="12"/>
            </w:tcBorders>
            <w:shd w:fill="EEF1EE" w:val="clear"/>
          </w:tcPr>
          <w:p>
            <w:pPr>
              <w:spacing w:after="20" w:before="20"/>
            </w:pPr>
          </w:p>
        </w:tc>
      </w:tr>
    </w:tbl>
    <w:p>
      <w:pPr>
        <w:spacing w:after="20" w:before="20"/>
        <w:jc w:val="center"/>
      </w:pPr>
      <w:r>
        <w:rPr>
          <w:rFonts w:ascii="Consolas" w:cs="Consolas" w:eastAsia="Consolas" w:hAnsi="Consolas"/>
          <w:color w:val="5E6B60"/>
          <w:sz w:val="16"/>
          <w:szCs w:val="16"/>
        </w:rPr>
        <w:t xml:space="preserve">POC: Divya / Nagesh (MDM Team)</w:t>
      </w:r>
    </w:p>
    <w:p>
      <w:pPr>
        <w:spacing w:after="60" w:before="60"/>
        <w:jc w:val="center"/>
      </w:pPr>
      <w:r>
        <w:rPr>
          <w:rFonts w:ascii="Segoe UI" w:cs="Segoe UI" w:eastAsia="Segoe UI" w:hAnsi="Segoe UI"/>
          <w:color w:val="2456A6"/>
          <w:sz w:val="22"/>
          <w:szCs w:val="22"/>
        </w:rPr>
        <w:t xml:space="preserve">▼</w:t>
      </w:r>
      <w:r>
        <w:rPr>
          <w:rFonts w:ascii="Consolas" w:cs="Consolas" w:eastAsia="Consolas" w:hAnsi="Consolas"/>
          <w:i/>
          <w:iCs/>
          <w:color w:val="2456A6"/>
          <w:sz w:val="16"/>
          <w:szCs w:val="16"/>
        </w:rPr>
        <w:t xml:space="preserve">  sync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tcBorders>
              <w:top w:val="single" w:color="17222E" w:sz="12"/>
              <w:left w:val="single" w:color="17222E" w:sz="12"/>
              <w:bottom w:val="single" w:color="17222E" w:sz="12"/>
              <w:right w:val="single" w:color="17222E" w:sz="12"/>
            </w:tcBorders>
            <w:shd w:fill="FFFFFF" w:val="clear"/>
          </w:tcPr>
          <w:p>
            <w:pPr>
              <w:spacing w:after="20" w:before="8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222E"/>
                <w:sz w:val="24"/>
                <w:szCs w:val="24"/>
              </w:rPr>
              <w:t xml:space="preserve">Salesforce</w:t>
            </w:r>
          </w:p>
          <w:p>
            <w:pPr>
              <w:spacing w:after="80"/>
              <w:jc w:val="center"/>
            </w:pPr>
            <w:r>
              <w:rPr>
                <w:rFonts w:ascii="Consolas" w:cs="Consolas" w:eastAsia="Consolas" w:hAnsi="Consolas"/>
                <w:caps/>
                <w:color w:val="5D6B77"/>
                <w:sz w:val="15"/>
                <w:szCs w:val="15"/>
              </w:rPr>
              <w:t xml:space="preserve">Target System · POC: Kanakaiah Challah (SF Team)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7222E"/>
          <w:sz w:val="30"/>
          <w:szCs w:val="30"/>
        </w:rPr>
        <w:t xml:space="preserve">Points of Contact by Layer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600"/>
        <w:gridCol w:w="2200"/>
      </w:tblGrid>
      <w:tr>
        <w:trPr>
          <w:tblHeader/>
        </w:trPr>
        <w:tc>
          <w:tcPr>
            <w:tcW w:type="dxa" w:w="2100"/>
            <w:tcBorders>
              <w:top w:val="single" w:color="17222E" w:sz="12"/>
              <w:left w:val="single" w:color="17222E" w:sz="12"/>
              <w:bottom w:val="single" w:color="17222E" w:sz="12"/>
              <w:right w:val="single" w:color="17222E" w:sz="12"/>
            </w:tcBorders>
            <w:shd w:fill="17222E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/>
                <w:bCs/>
                <w:cap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7222E" w:sz="12"/>
              <w:left w:val="single" w:color="17222E" w:sz="12"/>
              <w:bottom w:val="single" w:color="17222E" w:sz="12"/>
              <w:right w:val="single" w:color="17222E" w:sz="12"/>
            </w:tcBorders>
            <w:shd w:fill="17222E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/>
                <w:bCs/>
                <w:cap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17222E" w:sz="12"/>
              <w:left w:val="single" w:color="17222E" w:sz="12"/>
              <w:bottom w:val="single" w:color="17222E" w:sz="12"/>
              <w:right w:val="single" w:color="17222E" w:sz="12"/>
            </w:tcBorders>
            <w:shd w:fill="17222E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/>
                <w:bCs/>
                <w:caps/>
                <w:color w:val="FFFFFF"/>
                <w:sz w:val="18"/>
                <w:szCs w:val="18"/>
              </w:rPr>
              <w:t xml:space="preserve">Point of Contact</w:t>
            </w:r>
          </w:p>
        </w:tc>
        <w:tc>
          <w:tcPr>
            <w:tcW w:type="dxa" w:w="2200"/>
            <w:tcBorders>
              <w:top w:val="single" w:color="17222E" w:sz="12"/>
              <w:left w:val="single" w:color="17222E" w:sz="12"/>
              <w:bottom w:val="single" w:color="17222E" w:sz="12"/>
              <w:right w:val="single" w:color="17222E" w:sz="12"/>
            </w:tcBorders>
            <w:shd w:fill="17222E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/>
                <w:bCs/>
                <w:caps/>
                <w:color w:val="FFFFFF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21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7222E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 w:val="false"/>
                <w:bCs w:val="false"/>
                <w:color w:val="17222E"/>
                <w:sz w:val="20"/>
                <w:szCs w:val="20"/>
              </w:rPr>
              <w:t xml:space="preserve">Manuconnect</w:t>
            </w:r>
          </w:p>
        </w:tc>
        <w:tc>
          <w:tcPr>
            <w:tcW w:type="dxa" w:w="26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7222E"/>
                <w:sz w:val="20"/>
                <w:szCs w:val="20"/>
              </w:rPr>
              <w:t xml:space="preserve">Sara Maity</w:t>
            </w:r>
          </w:p>
        </w:tc>
        <w:tc>
          <w:tcPr>
            <w:tcW w:type="dxa" w:w="22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 w:val="false"/>
                <w:bCs w:val="false"/>
                <w:color w:val="17222E"/>
                <w:sz w:val="20"/>
                <w:szCs w:val="20"/>
              </w:rPr>
              <w:t xml:space="preserve">Manuconnect</w:t>
            </w:r>
          </w:p>
        </w:tc>
      </w:tr>
      <w:tr>
        <w:tc>
          <w:tcPr>
            <w:tcW w:type="dxa" w:w="21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7222E"/>
                <w:sz w:val="20"/>
                <w:szCs w:val="20"/>
              </w:rPr>
              <w:t xml:space="preserve">Ingestion</w:t>
            </w:r>
          </w:p>
        </w:tc>
        <w:tc>
          <w:tcPr>
            <w:tcW w:type="dxa" w:w="25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 w:val="false"/>
                <w:bCs w:val="false"/>
                <w:color w:val="17222E"/>
                <w:sz w:val="20"/>
                <w:szCs w:val="20"/>
              </w:rPr>
              <w:t xml:space="preserve">Kafka / NiFi</w:t>
            </w:r>
          </w:p>
        </w:tc>
        <w:tc>
          <w:tcPr>
            <w:tcW w:type="dxa" w:w="26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7222E"/>
                <w:sz w:val="20"/>
                <w:szCs w:val="20"/>
              </w:rPr>
              <w:t xml:space="preserve">Thilak / Vikash Kumar</w:t>
            </w:r>
          </w:p>
        </w:tc>
        <w:tc>
          <w:tcPr>
            <w:tcW w:type="dxa" w:w="22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 w:val="false"/>
                <w:bCs w:val="false"/>
                <w:color w:val="17222E"/>
                <w:sz w:val="20"/>
                <w:szCs w:val="20"/>
              </w:rPr>
              <w:t xml:space="preserve">GB Team</w:t>
            </w:r>
          </w:p>
        </w:tc>
      </w:tr>
      <w:tr>
        <w:tc>
          <w:tcPr>
            <w:tcW w:type="dxa" w:w="21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7222E"/>
                <w:sz w:val="20"/>
                <w:szCs w:val="20"/>
              </w:rPr>
              <w:t xml:space="preserve">MDM Platform</w:t>
            </w:r>
          </w:p>
        </w:tc>
        <w:tc>
          <w:tcPr>
            <w:tcW w:type="dxa" w:w="25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 w:val="false"/>
                <w:bCs w:val="false"/>
                <w:color w:val="17222E"/>
                <w:sz w:val="20"/>
                <w:szCs w:val="20"/>
              </w:rPr>
              <w:t xml:space="preserve">Event Hub, Processing, MongoDB, Publisher</w:t>
            </w:r>
          </w:p>
        </w:tc>
        <w:tc>
          <w:tcPr>
            <w:tcW w:type="dxa" w:w="26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7222E"/>
                <w:sz w:val="20"/>
                <w:szCs w:val="20"/>
              </w:rPr>
              <w:t xml:space="preserve">Divya / Nagesh</w:t>
            </w:r>
          </w:p>
        </w:tc>
        <w:tc>
          <w:tcPr>
            <w:tcW w:type="dxa" w:w="22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 w:val="false"/>
                <w:bCs w:val="false"/>
                <w:color w:val="17222E"/>
                <w:sz w:val="20"/>
                <w:szCs w:val="20"/>
              </w:rPr>
              <w:t xml:space="preserve">MDM Team</w:t>
            </w:r>
          </w:p>
        </w:tc>
      </w:tr>
      <w:tr>
        <w:tc>
          <w:tcPr>
            <w:tcW w:type="dxa" w:w="21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7222E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5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 w:val="false"/>
                <w:bCs w:val="false"/>
                <w:color w:val="17222E"/>
                <w:sz w:val="20"/>
                <w:szCs w:val="20"/>
              </w:rPr>
              <w:t xml:space="preserve">Salesforce</w:t>
            </w:r>
          </w:p>
        </w:tc>
        <w:tc>
          <w:tcPr>
            <w:tcW w:type="dxa" w:w="26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7222E"/>
                <w:sz w:val="20"/>
                <w:szCs w:val="20"/>
              </w:rPr>
              <w:t xml:space="preserve">Kanakaiah Challah</w:t>
            </w:r>
          </w:p>
        </w:tc>
        <w:tc>
          <w:tcPr>
            <w:tcW w:type="dxa" w:w="2200"/>
            <w:tcBorders>
              <w:top w:val="single" w:color="A6906A" w:sz="12"/>
              <w:left w:val="single" w:color="A6906A" w:sz="12"/>
              <w:bottom w:val="single" w:color="A6906A" w:sz="12"/>
              <w:right w:val="single" w:color="A6906A" w:sz="12"/>
            </w:tcBorders>
            <w:shd w:fill="FDFCF8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 w:val="false"/>
                <w:bCs w:val="false"/>
                <w:color w:val="17222E"/>
                <w:sz w:val="20"/>
                <w:szCs w:val="20"/>
              </w:rPr>
              <w:t xml:space="preserve">SF Team</w:t>
            </w:r>
          </w:p>
        </w:tc>
      </w:tr>
    </w:tbl>
    <w:p>
      <w:pPr>
        <w:spacing w:after="80" w:before="0"/>
      </w:pPr>
    </w:p>
    <w:p>
      <w:r>
        <w:rPr>
          <w:rFonts w:ascii="Segoe UI" w:cs="Segoe UI" w:eastAsia="Segoe UI" w:hAnsi="Segoe UI"/>
          <w:i/>
          <w:iCs/>
          <w:color w:val="5D6B77"/>
          <w:sz w:val="18"/>
          <w:szCs w:val="18"/>
        </w:rPr>
        <w:t xml:space="preserve">Note: add email addresses / escalation channels in the table above as they are confirmed.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722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2026-07-10T13:32:12.075Z</dcterms:created>
  <dcterms:modified xsi:type="dcterms:W3CDTF">2026-07-10T13:32:12.108Z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