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282D90" w:rsidRDefault="00076E8B" w:rsidP="00300DDE">
            <w:pPr>
              <w:pStyle w:val="Puesto"/>
              <w:jc w:val="center"/>
              <w:rPr>
                <w:rStyle w:val="Ttulodellibro"/>
                <w:color w:val="005191" w:themeColor="accent1"/>
                <w:sz w:val="72"/>
              </w:rPr>
            </w:pPr>
            <w:r w:rsidRPr="00282D90">
              <w:rPr>
                <w:rStyle w:val="Ttulodellibro"/>
                <w:color w:val="005191" w:themeColor="accent1"/>
                <w:sz w:val="72"/>
              </w:rPr>
              <w:t>test</w:t>
            </w:r>
          </w:p>
          <w:p w:rsidR="00BB4162" w:rsidRDefault="00BB4162" w:rsidP="00300DDE">
            <w:pPr>
              <w:pStyle w:val="Subttulo"/>
              <w:rPr>
                <w:rStyle w:val="Ttulodellibro"/>
                <w:color w:val="4BACC6" w:themeColor="accent5"/>
                <w:sz w:val="28"/>
              </w:rPr>
            </w:pPr>
            <w:r w:rsidRPr="00300DDE">
              <w:rPr>
                <w:rStyle w:val="Ttulodellibro"/>
                <w:color w:val="4BACC6" w:themeColor="accent5"/>
                <w:sz w:val="28"/>
              </w:rPr>
              <w:t>Version not provided</w:t>
            </w:r>
          </w:p>
          <w:p w:rsidR="00300DDE" w:rsidRPr="00300DDE" w:rsidRDefault="00300DDE" w:rsidP="00300DDE"/>
          <w:p w:rsidR="001F5FAC" w:rsidRPr="00300DDE" w:rsidRDefault="001F5FAC" w:rsidP="000942FB">
            <w:pPr>
              <w:pStyle w:val="Titreprincipal"/>
              <w:rPr>
                <w:rStyle w:val="Ttulodellibro"/>
                <w:color w:val="auto"/>
              </w:rPr>
            </w:pPr>
            <w:r w:rsidRPr="00300DDE">
              <w:rPr>
                <w:rStyle w:val="PuestoCar"/>
              </w:rPr>
              <w:t>Code</w:t>
            </w:r>
            <w:r w:rsidRPr="00300DDE">
              <w:rPr>
                <w:rStyle w:val="Ttulodellibro"/>
                <w:color w:val="auto"/>
              </w:rPr>
              <w:t xml:space="preserve"> </w:t>
            </w:r>
            <w:r w:rsidR="00300DDE">
              <w:rPr>
                <w:rStyle w:val="Puesto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F20275" w:rsidTr="001F5FAC">
        <w:trPr>
          <w:cantSplit/>
          <w:trHeight w:val="80"/>
        </w:trPr>
        <w:tc>
          <w:tcPr>
            <w:tcW w:w="9638" w:type="dxa"/>
            <w:tcBorders>
              <w:top w:val="nil"/>
              <w:left w:val="nil"/>
              <w:bottom w:val="nil"/>
              <w:right w:val="nil"/>
            </w:tcBorders>
            <w:shd w:val="clear" w:color="auto" w:fill="auto"/>
            <w:tcMar>
              <w:left w:w="46" w:type="dxa"/>
            </w:tcMar>
          </w:tcPr>
          <w:p w:rsidR="00265064" w:rsidRPr="009928EF" w:rsidRDefault="00265064">
            <w:pPr>
              <w:tabs>
                <w:tab w:val="left" w:pos="5103"/>
              </w:tabs>
              <w:ind w:left="170"/>
              <w:rPr>
                <w:b/>
                <w:lang w:val="en-US"/>
              </w:rPr>
            </w:pPr>
          </w:p>
          <w:p w:rsidR="00265064" w:rsidRPr="006E25C4" w:rsidRDefault="001F5FAC">
            <w:pPr>
              <w:tabs>
                <w:tab w:val="left" w:pos="5103"/>
              </w:tabs>
              <w:ind w:left="170"/>
              <w:rPr>
                <w:b/>
                <w:lang w:val="en-US"/>
              </w:rPr>
            </w:pPr>
            <w:r w:rsidRPr="006E25C4">
              <w:rPr>
                <w:b/>
                <w:lang w:val="en-US"/>
              </w:rPr>
              <w:t>By: Administrator</w:t>
            </w:r>
          </w:p>
          <w:p w:rsidR="001F5FAC" w:rsidRPr="006E25C4" w:rsidRDefault="001F5FAC">
            <w:pPr>
              <w:tabs>
                <w:tab w:val="left" w:pos="5103"/>
              </w:tabs>
              <w:ind w:left="170"/>
              <w:rPr>
                <w:b/>
                <w:lang w:val="en-US"/>
              </w:rPr>
            </w:pPr>
          </w:p>
          <w:p w:rsidR="001F5FAC" w:rsidRPr="006E25C4" w:rsidRDefault="001F5FAC">
            <w:pPr>
              <w:tabs>
                <w:tab w:val="left" w:pos="5103"/>
              </w:tabs>
              <w:ind w:left="170"/>
              <w:rPr>
                <w:lang w:val="en-US"/>
              </w:rPr>
            </w:pPr>
            <w:r w:rsidRPr="006E25C4">
              <w:rPr>
                <w:b/>
                <w:lang w:val="en-US"/>
              </w:rPr>
              <w:t>2025-05-19</w:t>
            </w:r>
          </w:p>
          <w:p w:rsidR="00265064" w:rsidRPr="006E25C4" w:rsidRDefault="00265064" w:rsidP="001F5FAC">
            <w:pPr>
              <w:tabs>
                <w:tab w:val="left" w:pos="5103"/>
              </w:tabs>
              <w:rPr>
                <w:lang w:val="en-US"/>
              </w:rPr>
            </w:pPr>
          </w:p>
        </w:tc>
      </w:tr>
    </w:tbl>
    <w:p w:rsidR="00265064" w:rsidRPr="006E25C4" w:rsidRDefault="00076E8B">
      <w:pPr>
        <w:rPr>
          <w:lang w:val="en-US"/>
        </w:rPr>
      </w:pPr>
      <w:r w:rsidRPr="006E25C4">
        <w:rPr>
          <w:lang w:val="en-US"/>
        </w:rPr>
        <w:br w:type="page"/>
      </w:r>
    </w:p>
    <w:bookmarkStart w:id="1"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tulo1"/>
          </w:pPr>
          <w:r w:rsidRPr="005540B0">
            <w:t>Content</w:t>
          </w:r>
          <w:bookmarkEnd w:id="1"/>
        </w:p>
        <w:p w:rsidR="00B26DFA" w:rsidRDefault="00076E8B">
          <w:pPr>
            <w:pStyle w:val="TDC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Hipervnculo"/>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917A79">
          <w:pPr>
            <w:pStyle w:val="TDC1"/>
            <w:rPr>
              <w:noProof/>
              <w:sz w:val="22"/>
              <w:szCs w:val="22"/>
              <w:lang w:val="es-ES" w:eastAsia="es-ES"/>
            </w:rPr>
          </w:pPr>
          <w:hyperlink w:anchor="_Toc97156259" w:history="1">
            <w:r w:rsidR="00B26DFA" w:rsidRPr="00B17DAE">
              <w:rPr>
                <w:rStyle w:val="Hipervnculo"/>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0" w:history="1">
            <w:r w:rsidR="00B26DFA" w:rsidRPr="00B17DAE">
              <w:rPr>
                <w:rStyle w:val="Hipervnculo"/>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1" w:history="1">
            <w:r w:rsidR="00B26DFA" w:rsidRPr="00B17DAE">
              <w:rPr>
                <w:rStyle w:val="Hipervnculo"/>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2" w:history="1">
            <w:r w:rsidR="00B26DFA" w:rsidRPr="00B17DAE">
              <w:rPr>
                <w:rStyle w:val="Hipervnculo"/>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3" w:history="1">
            <w:r w:rsidR="00B26DFA" w:rsidRPr="00B17DAE">
              <w:rPr>
                <w:rStyle w:val="Hipervnculo"/>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4" w:history="1">
            <w:r w:rsidR="00B26DFA" w:rsidRPr="00B17DAE">
              <w:rPr>
                <w:rStyle w:val="Hipervnculo"/>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5" w:history="1">
            <w:r w:rsidR="00B26DFA" w:rsidRPr="00B17DAE">
              <w:rPr>
                <w:rStyle w:val="Hipervnculo"/>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6" w:history="1">
            <w:r w:rsidR="00B26DFA" w:rsidRPr="00B17DAE">
              <w:rPr>
                <w:rStyle w:val="Hipervnculo"/>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7" w:history="1">
            <w:r w:rsidR="00B26DFA" w:rsidRPr="00B17DAE">
              <w:rPr>
                <w:rStyle w:val="Hipervnculo"/>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8" w:history="1">
            <w:r w:rsidR="00B26DFA" w:rsidRPr="00B17DAE">
              <w:rPr>
                <w:rStyle w:val="Hipervnculo"/>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1"/>
            <w:rPr>
              <w:noProof/>
              <w:sz w:val="22"/>
              <w:szCs w:val="22"/>
              <w:lang w:val="es-ES" w:eastAsia="es-ES"/>
            </w:rPr>
          </w:pPr>
          <w:hyperlink w:anchor="_Toc97156269" w:history="1">
            <w:r w:rsidR="00B26DFA" w:rsidRPr="00B17DAE">
              <w:rPr>
                <w:rStyle w:val="Hipervnculo"/>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0" w:history="1">
            <w:r w:rsidR="00B26DFA" w:rsidRPr="00B17DAE">
              <w:rPr>
                <w:rStyle w:val="Hipervnculo"/>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1" w:history="1">
            <w:r w:rsidR="00B26DFA" w:rsidRPr="00B17DAE">
              <w:rPr>
                <w:rStyle w:val="Hipervnculo"/>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2" w:history="1">
            <w:r w:rsidR="00B26DFA" w:rsidRPr="00B17DAE">
              <w:rPr>
                <w:rStyle w:val="Hipervnculo"/>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1"/>
            <w:rPr>
              <w:noProof/>
              <w:sz w:val="22"/>
              <w:szCs w:val="22"/>
              <w:lang w:val="es-ES" w:eastAsia="es-ES"/>
            </w:rPr>
          </w:pPr>
          <w:hyperlink w:anchor="_Toc97156273" w:history="1">
            <w:r w:rsidR="00B26DFA" w:rsidRPr="00B17DAE">
              <w:rPr>
                <w:rStyle w:val="Hipervnculo"/>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4" w:history="1">
            <w:r w:rsidR="00B26DFA" w:rsidRPr="00B17DAE">
              <w:rPr>
                <w:rStyle w:val="Hipervnculo"/>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5" w:history="1">
            <w:r w:rsidR="00B26DFA" w:rsidRPr="00B17DAE">
              <w:rPr>
                <w:rStyle w:val="Hipervnculo"/>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tulo1"/>
        <w:rPr>
          <w:lang w:val="en-US"/>
        </w:rPr>
      </w:pPr>
      <w:bookmarkStart w:id="2" w:name="_Toc481744297"/>
      <w:bookmarkStart w:id="3" w:name="_Toc97156259"/>
      <w:bookmarkEnd w:id="2"/>
      <w:r w:rsidRPr="006E25C4">
        <w:rPr>
          <w:lang w:val="en-US"/>
        </w:rPr>
        <w:lastRenderedPageBreak/>
        <w:t>Introduction</w:t>
      </w:r>
      <w:bookmarkEnd w:id="3"/>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test.</w:t>
      </w:r>
    </w:p>
    <w:p w:rsidR="00BB4162" w:rsidRDefault="00BB4162" w:rsidP="00426961">
      <w:pPr>
        <w:rPr>
          <w:lang w:val="en-US"/>
        </w:rPr>
      </w:pPr>
      <w:r>
        <w:rPr>
          <w:lang w:val="en-US"/>
        </w:rPr>
        <w:t/>
      </w:r>
    </w:p>
    <w:p w:rsidR="00B675AF" w:rsidRPr="001F5FAC" w:rsidRDefault="00B675AF" w:rsidP="00426961">
      <w:pPr>
        <w:rPr>
          <w:lang w:val="en-US"/>
        </w:rPr>
      </w:pPr>
    </w:p>
    <w:p w:rsidR="00CF2650" w:rsidRDefault="001F5FAC" w:rsidP="001F5FAC">
      <w:pPr>
        <w:pStyle w:val="Ttulo1"/>
      </w:pPr>
      <w:bookmarkStart w:id="4" w:name="_Toc97156260"/>
      <w:r>
        <w:t>Configuration</w:t>
      </w:r>
      <w:bookmarkEnd w:id="4"/>
    </w:p>
    <w:p w:rsidR="00CF2650" w:rsidRDefault="001F5FAC" w:rsidP="00CF2650">
      <w:pPr>
        <w:numPr>
          <w:ilvl w:val="0"/>
          <w:numId w:val="3"/>
        </w:numPr>
      </w:pPr>
      <w:r>
        <w:t>Quality Profiles</w:t>
      </w:r>
    </w:p>
    <w:p w:rsidR="00CF2650" w:rsidRDefault="001F5FAC" w:rsidP="00B6799A">
      <w:pPr>
        <w:pStyle w:val="Prrafodelista"/>
        <w:numPr>
          <w:ilvl w:val="1"/>
          <w:numId w:val="3"/>
        </w:numPr>
      </w:pPr>
      <w:r>
        <w:t>Names</w:t>
      </w:r>
      <w:r w:rsidR="00CF2650">
        <w:t xml:space="preserve">: Sonar way [JavaScript]; Sonar way [TypeScript]; </w:t>
      </w:r>
    </w:p>
    <w:p w:rsidR="00CF2650" w:rsidRDefault="001F5FAC" w:rsidP="00CF2650">
      <w:pPr>
        <w:numPr>
          <w:ilvl w:val="1"/>
          <w:numId w:val="3"/>
        </w:numPr>
      </w:pPr>
      <w:r>
        <w:t>Files</w:t>
      </w:r>
      <w:r w:rsidR="00CF2650">
        <w:t xml:space="preserve">: AZblzRvdLM_sdivgvAtG.json; AZblzUUjLM_sdivgvB9V.json;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5" w:name="_Toc481744298"/>
      <w:bookmarkEnd w:id="5"/>
      <w:r>
        <w:br w:type="page"/>
      </w:r>
    </w:p>
    <w:p w:rsidR="005F2CF0" w:rsidRDefault="005F2CF0" w:rsidP="005F2CF0">
      <w:pPr>
        <w:pStyle w:val="Ttulo1"/>
      </w:pPr>
      <w:bookmarkStart w:id="6" w:name="_Toc97156261"/>
      <w:r>
        <w:lastRenderedPageBreak/>
        <w:t>Synthesis</w:t>
      </w:r>
      <w:bookmarkEnd w:id="6"/>
    </w:p>
    <w:p w:rsidR="00B675AF" w:rsidRDefault="00B675AF" w:rsidP="00B675AF">
      <w:pPr>
        <w:pStyle w:val="Ttulo2"/>
      </w:pPr>
      <w:bookmarkStart w:id="7" w:name="_Toc97156262"/>
      <w:r>
        <w:t>Analysis Status</w:t>
      </w:r>
      <w:bookmarkEnd w:id="7"/>
    </w:p>
    <w:tbl>
      <w:tblPr>
        <w:tblStyle w:val="Sombreadoclaro-nfasis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C.png"/>
                  <a:graphic xmlns:a="http://schemas.openxmlformats.org/drawingml/2006/main">
                    <a:graphicData uri="http://schemas.openxmlformats.org/drawingml/2006/picture">
                      <pic:pic xmlns:pic="http://schemas.openxmlformats.org/drawingml/2006/picture">
                        <pic:nvPicPr>
                          <pic:cNvPr id="0" name="Picture 0" descr="C.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E.png"/>
                  <a:graphic xmlns:a="http://schemas.openxmlformats.org/drawingml/2006/main">
                    <a:graphicData uri="http://schemas.openxmlformats.org/drawingml/2006/picture">
                      <pic:pic xmlns:pic="http://schemas.openxmlformats.org/drawingml/2006/picture">
                        <pic:nvPicPr>
                          <pic:cNvPr id="0" name="Picture 6" descr="E.png"/>
                          <pic:cNvPicPr>
                            <a:picLocks noChangeAspect="true"/>
                          </pic:cNvPicPr>
                        </pic:nvPicPr>
                        <pic:blipFill>
                          <a:blip r:embed="rId18"/>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A.png"/>
                  <a:graphic xmlns:a="http://schemas.openxmlformats.org/drawingml/2006/main">
                    <a:graphicData uri="http://schemas.openxmlformats.org/drawingml/2006/picture">
                      <pic:pic xmlns:pic="http://schemas.openxmlformats.org/drawingml/2006/picture">
                        <pic:nvPicPr>
                          <pic:cNvPr id="0" name="Picture 7"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tulo2"/>
        <w:rPr>
          <w:lang w:val="en-US"/>
        </w:rPr>
      </w:pPr>
      <w:bookmarkStart w:id="8" w:name="_Toc72936669"/>
      <w:bookmarkStart w:id="9" w:name="_Toc97156263"/>
      <w:r>
        <w:rPr>
          <w:lang w:val="en-US"/>
        </w:rPr>
        <w:t>Quality gate status</w:t>
      </w:r>
      <w:bookmarkEnd w:id="8"/>
      <w:bookmarkEnd w:id="9"/>
    </w:p>
    <w:tbl>
      <w:tblPr>
        <w:tblStyle w:val="Sombreadoclaro-nfasis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9"/>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Sombreadoclaro-nfasis5"/>
        <w:tblW w:w="5000" w:type="pct"/>
        <w:tblLook w:val="0420" w:firstRow="1" w:lastRow="0" w:firstColumn="0" w:lastColumn="0" w:noHBand="0" w:noVBand="1"/>
      </w:tblPr>
      <w:tblGrid>
        <w:gridCol w:w="9854"/>
      </w:tblGrid>
      <w:tr>
        <w:tc>
          <w:p>
            <w:r>
              <w:t>Metric</w:t>
            </w:r>
          </w:p>
        </w:tc>
        <w:tc>
          <w:p>
            <w:r>
              <w:t>Value</w:t>
            </w:r>
          </w:p>
        </w:tc>
      </w:tr>
      <w:tr>
        <w:tc>
          <w:p>
            <w:r>
              <w:t>Reliability Rating on New Code</w:t>
            </w:r>
          </w:p>
        </w:tc>
        <w:tc>
          <w:p>
            <w:r>
              <w:t>OK</w:t>
            </w:r>
          </w:p>
        </w:tc>
      </w:tr>
      <w:tr>
        <w:tc>
          <w:p>
            <w:r>
              <w:t>Security Rating on New Code</w:t>
            </w:r>
          </w:p>
        </w:tc>
        <w:tc>
          <w:p>
            <w:r>
              <w:t>OK</w:t>
            </w:r>
          </w:p>
        </w:tc>
      </w:tr>
      <w:tr>
        <w:tc>
          <w:p>
            <w:r>
              <w:t>Maintainability Rating on New Code</w:t>
            </w:r>
          </w:p>
        </w:tc>
        <w:tc>
          <w:p>
            <w:r>
              <w:t>OK</w:t>
            </w:r>
          </w:p>
        </w:tc>
      </w:tr>
    </w:tbl>
    <w:p w:rsidR="00E31B8D" w:rsidRPr="00B675AF" w:rsidRDefault="00E31B8D" w:rsidP="00B675AF"/>
    <w:p w:rsidR="00B675AF" w:rsidRDefault="00B675AF" w:rsidP="00B675AF">
      <w:pPr>
        <w:pStyle w:val="Ttulo2"/>
      </w:pPr>
      <w:bookmarkStart w:id="10" w:name="_Toc97156264"/>
      <w:r>
        <w:t>Metrics</w:t>
      </w:r>
      <w:bookmarkEnd w:id="10"/>
    </w:p>
    <w:tbl>
      <w:tblPr>
        <w:tblStyle w:val="Sombreadoclaro-nfasis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0.0 %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10.4 %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29.4 %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59.0</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99.1</w:t>
            </w:r>
            <w:r>
              <w:rPr>
                <w:b/>
                <w:lang w:val="en-US"/>
              </w:rPr>
              <w:t xml:space="preserve"> %</w:t>
            </w:r>
          </w:p>
        </w:tc>
      </w:tr>
    </w:tbl>
    <w:p w:rsidR="00B675AF" w:rsidRDefault="00B675AF" w:rsidP="00B675AF"/>
    <w:p w:rsidR="00B26DFA" w:rsidRDefault="00B26DFA" w:rsidP="00B26DFA"/>
    <w:p w:rsidR="00B26DFA" w:rsidRDefault="00B26DFA" w:rsidP="00B26DFA">
      <w:pPr>
        <w:pStyle w:val="Ttulo2"/>
      </w:pPr>
      <w:bookmarkStart w:id="11" w:name="_Toc97156265"/>
      <w:r>
        <w:t>Tests</w:t>
      </w:r>
      <w:bookmarkEnd w:id="11"/>
    </w:p>
    <w:tbl>
      <w:tblPr>
        <w:tblStyle w:val="Sombreadoclaro-nfasis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0</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tulo2"/>
      </w:pPr>
      <w:bookmarkStart w:id="12" w:name="_Toc97156266"/>
      <w:r>
        <w:t>Detailed t</w:t>
      </w:r>
      <w:r w:rsidR="005D6ED8">
        <w:t>echnical debt</w:t>
      </w:r>
      <w:bookmarkEnd w:id="12"/>
    </w:p>
    <w:tbl>
      <w:tblPr>
        <w:tblStyle w:val="Sombreadoclaro-nfasis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0d 0h 45min</w:t>
            </w:r>
          </w:p>
        </w:tc>
        <w:tc>
          <w:p>
            <w:r>
              <w:t>-</w:t>
            </w:r>
          </w:p>
        </w:tc>
        <w:tc>
          <w:p>
            <w:r>
              <w:t>0d 5h 31min</w:t>
            </w:r>
          </w:p>
        </w:tc>
        <w:tc>
          <w:p>
            <w:r>
              <w:t>0d 6h 16min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tulo2"/>
      </w:pPr>
      <w:bookmarkStart w:id="13" w:name="_Toc97156267"/>
      <w:r>
        <w:lastRenderedPageBreak/>
        <w:t>Metrics</w:t>
      </w:r>
      <w:r w:rsidR="006365C1">
        <w:t xml:space="preserve"> R</w:t>
      </w:r>
      <w:r w:rsidR="003E4987">
        <w:t>ange</w:t>
      </w:r>
      <w:bookmarkEnd w:id="13"/>
    </w:p>
    <w:tbl>
      <w:tblPr>
        <w:tblStyle w:val="Sombreadoclaro-nfasis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5.0</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0.0</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w:t>
            </w:r>
            <w:bookmarkStart w:id="14" w:name="_GoBack"/>
            <w:bookmarkEnd w:id="14"/>
            <w:r>
              <w:t>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426.0</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367.0</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3690.0</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71.8</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0.0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49.6</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tulo2"/>
        <w:rPr>
          <w:lang w:val="en-US"/>
        </w:rPr>
      </w:pPr>
      <w:bookmarkStart w:id="15" w:name="_Toc97156268"/>
      <w:r>
        <w:rPr>
          <w:lang w:val="en-US"/>
        </w:rPr>
        <w:t>Volume</w:t>
      </w:r>
      <w:bookmarkEnd w:id="15"/>
    </w:p>
    <w:tbl>
      <w:tblPr>
        <w:tblStyle w:val="Sombreadoclaro-nfasis5"/>
        <w:tblW w:w="5000" w:type="pct"/>
        <w:tblLook w:val="0420" w:firstRow="1" w:lastRow="0" w:firstColumn="0" w:lastColumn="0" w:noHBand="0" w:noVBand="1"/>
        <w:tblCaption w:val="TT-CATEGORIES-TT"/>
      </w:tblPr>
      <w:tblGrid>
        <w:gridCol w:w="9854"/>
      </w:tblGrid>
      <w:tr>
        <w:tc>
          <w:p>
            <w:r>
              <w:t>Language</w:t>
            </w:r>
          </w:p>
        </w:tc>
        <w:tc>
          <w:p>
            <w:r>
              <w:t>Number</w:t>
            </w:r>
          </w:p>
        </w:tc>
      </w:tr>
      <w:tr>
        <w:tc>
          <w:p>
            <w:r>
              <w:t>&lt;null&gt;</w:t>
            </w:r>
          </w:p>
        </w:tc>
        <w:tc>
          <w:p>
            <w:r>
              <w:t>15</w:t>
            </w:r>
          </w:p>
        </w:tc>
      </w:tr>
      <w:tr>
        <w:tc>
          <w:p>
            <w:r>
              <w:t>JavaScript</w:t>
            </w:r>
          </w:p>
        </w:tc>
        <w:tc>
          <w:p>
            <w:r>
              <w:t>29</w:t>
            </w:r>
          </w:p>
        </w:tc>
      </w:tr>
      <w:tr>
        <w:tc>
          <w:p>
            <w:r>
              <w:t>TypeScript</w:t>
            </w:r>
          </w:p>
        </w:tc>
        <w:tc>
          <w:p>
            <w:r>
              <w:t>4215</w:t>
            </w:r>
          </w:p>
        </w:tc>
      </w:tr>
      <w:tr>
        <w:tc>
          <w:p>
            <w:r>
              <w:t>Total</w:t>
            </w:r>
          </w:p>
        </w:tc>
        <w:tc>
          <w:p>
            <w:r>
              <w:t>4259</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tulo1"/>
        <w:rPr>
          <w:lang w:val="en-US"/>
        </w:rPr>
      </w:pPr>
      <w:bookmarkStart w:id="16" w:name="_Toc97156269"/>
      <w:r>
        <w:rPr>
          <w:lang w:val="en-US"/>
        </w:rPr>
        <w:lastRenderedPageBreak/>
        <w:t>Issues</w:t>
      </w:r>
      <w:bookmarkEnd w:id="16"/>
    </w:p>
    <w:p w:rsidR="00E24710" w:rsidRPr="00BB4162" w:rsidRDefault="00E24710" w:rsidP="00E24710">
      <w:pPr>
        <w:pStyle w:val="Ttulo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val="es-ES" w:eastAsia="es-ES"/>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val="es-ES" w:eastAsia="es-ES"/>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val="es-ES" w:eastAsia="es-ES"/>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val="es-ES" w:eastAsia="es-ES"/>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tulo2"/>
        <w:rPr>
          <w:lang w:val="en-US"/>
        </w:rPr>
      </w:pPr>
      <w:bookmarkStart w:id="18" w:name="_Toc97156271"/>
      <w:r w:rsidRPr="001F5FAC">
        <w:rPr>
          <w:lang w:val="en-US"/>
        </w:rPr>
        <w:lastRenderedPageBreak/>
        <w:t>Issues count by severity and type</w:t>
      </w:r>
      <w:bookmarkEnd w:id="18"/>
    </w:p>
    <w:tbl>
      <w:tblPr>
        <w:tblStyle w:val="Sombreadoclaro-nfasis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0</w:t>
            </w:r>
          </w:p>
        </w:tc>
        <w:tc>
          <w:p>
            <w:r>
              <w:t>9</w:t>
            </w:r>
          </w:p>
        </w:tc>
        <w:tc>
          <w:p>
            <w:r>
              <w:t>0</w:t>
            </w:r>
          </w:p>
        </w:tc>
        <w:tc>
          <w:p>
            <w:r>
              <w:t>0</w:t>
            </w:r>
          </w:p>
        </w:tc>
      </w:tr>
      <w:tr>
        <w:tc>
          <w:p>
            <w:r>
              <w:t>VULNERABILITY</w:t>
            </w:r>
          </w:p>
        </w:tc>
        <w:tc>
          <w:p>
            <w:r>
              <w:t>0</w:t>
            </w:r>
          </w:p>
        </w:tc>
        <w:tc>
          <w:p>
            <w:r>
              <w:t>0</w:t>
            </w:r>
          </w:p>
        </w:tc>
        <w:tc>
          <w:p>
            <w:r>
              <w:t>0</w:t>
            </w:r>
          </w:p>
        </w:tc>
        <w:tc>
          <w:p>
            <w:r>
              <w:t>0</w:t>
            </w:r>
          </w:p>
        </w:tc>
        <w:tc>
          <w:p>
            <w:r>
              <w:t>0</w:t>
            </w:r>
          </w:p>
        </w:tc>
      </w:tr>
      <w:tr>
        <w:tc>
          <w:p>
            <w:r>
              <w:t>CODE_SMELL</w:t>
            </w:r>
          </w:p>
        </w:tc>
        <w:tc>
          <w:p>
            <w:r>
              <w:t>0</w:t>
            </w:r>
          </w:p>
        </w:tc>
        <w:tc>
          <w:p>
            <w:r>
              <w:t>13</w:t>
            </w:r>
          </w:p>
        </w:tc>
        <w:tc>
          <w:p>
            <w:r>
              <w:t>25</w:t>
            </w:r>
          </w:p>
        </w:tc>
        <w:tc>
          <w:p>
            <w:r>
              <w:t>93</w:t>
            </w:r>
          </w:p>
        </w:tc>
        <w:tc>
          <w:p>
            <w:r>
              <w:t>0</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tulo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Sombreadoclaro-nfasis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All code should be reachable</w:t>
            </w:r>
          </w:p>
        </w:tc>
        <w:tc>
          <w:p>
            <w:r>
              <w:t xml:space="preserve">Jump statements (return, break and continue) and throw expressions move control flow out of the
current code block. So any statements that come after a jump are dead code.
Noncompliant Code Example
function fun(a) {
  var i = 10;
  return i + a;
  i++;             // Noncompliant; this is never executed
}
Compliant Solution
function fun(int a) {
  var i = 10;
  return i + a;
}
See
   MITRE, CWE-561 - Dead Code 
</w:t>
            </w:r>
          </w:p>
        </w:tc>
        <w:tc>
          <w:p>
            <w:r>
              <w:t>BUG</w:t>
            </w:r>
          </w:p>
        </w:tc>
        <w:tc>
          <w:p>
            <w:r>
              <w:t>MAJOR</w:t>
            </w:r>
          </w:p>
        </w:tc>
        <w:tc>
          <w:p>
            <w:r>
              <w:t>9</w:t>
            </w:r>
          </w:p>
        </w:tc>
      </w:tr>
      <w:tr>
        <w:tc>
          <w:p>
            <w:r>
              <w:t>Cognitive Complexity of functions should not be too high</w:t>
            </w:r>
          </w:p>
        </w:tc>
        <w:tc>
          <w:p>
            <w:r>
              <w:t xml:space="preserve">Cognitive Complexity is a measure of how hard the control flow of a function is to understand. Functions with high Cognitive Complexity will be
difficult to maintain.
See
   Cognitive Complexity 
</w:t>
            </w:r>
          </w:p>
        </w:tc>
        <w:tc>
          <w:p>
            <w:r>
              <w:t>CODE_SMELL</w:t>
            </w:r>
          </w:p>
        </w:tc>
        <w:tc>
          <w:p>
            <w:r>
              <w:t>CRITICAL</w:t>
            </w:r>
          </w:p>
        </w:tc>
        <w:tc>
          <w:p>
            <w:r>
              <w:t>1</w:t>
            </w:r>
          </w:p>
        </w:tc>
      </w:tr>
      <w:tr>
        <w:tc>
          <w:p>
            <w:r>
              <w:t>"await" should only be used with promises</w:t>
            </w:r>
          </w:p>
        </w:tc>
        <w:tc>
          <w:p>
            <w:r>
              <w:t xml:space="preserve">It is possible to use await on values which are not Promises, but it’s useless and misleading. The point of
await is to pause execution until the Promise's asynchronous code has run to completion. With anything other than a
Promise, there’s nothing to wait for.
This rule raises an issue when an awaited value is guaranteed not to be a Promise.
Noncompliant Code Example
let x = 42;
await x; // Noncompliant
Compliant Solution
let x = new Promise(resolve =&amp;gt; resolve(42));
await x;
let y = p ? 42 : new Promise(resolve =&amp;gt; resolve(42));
await y;
</w:t>
            </w:r>
          </w:p>
        </w:tc>
        <w:tc>
          <w:p>
            <w:r>
              <w:t>CODE_SMELL</w:t>
            </w:r>
          </w:p>
        </w:tc>
        <w:tc>
          <w:p>
            <w:r>
              <w:t>CRITICAL</w:t>
            </w:r>
          </w:p>
        </w:tc>
        <w:tc>
          <w:p>
            <w:r>
              <w:t>92</w:t>
            </w:r>
          </w:p>
        </w:tc>
      </w:tr>
      <w:tr>
        <w:tc>
          <w:p>
            <w:r>
              <w:t>Instructions should be upper case</w:t>
            </w:r>
          </w:p>
        </w:tc>
        <w:tc>
          <w:p>
            <w:r>
              <w:t xml:space="preserve">The Dockerfile instructions are not case-sensitive. However, they should be in upper case to distinguish them from arguments more easily. Shared
coding conventions allow teams to collaborate effectively.
Noncompliant Code Example
from ubuntu:22.04 as jammy
Compliant Solution
FROM ubuntu:22.04 AS jammy
</w:t>
            </w:r>
          </w:p>
        </w:tc>
        <w:tc>
          <w:p>
            <w:r>
              <w:t>CODE_SMELL</w:t>
            </w:r>
          </w:p>
        </w:tc>
        <w:tc>
          <w:p>
            <w:r>
              <w:t>MAJOR</w:t>
            </w:r>
          </w:p>
        </w:tc>
        <w:tc>
          <w:p>
            <w:r>
              <w:t>1</w:t>
            </w:r>
          </w:p>
        </w:tc>
      </w:tr>
      <w:tr>
        <w:tc>
          <w:p>
            <w:r>
              <w:t>Functions should not have too many parameters</w:t>
            </w:r>
          </w:p>
        </w:tc>
        <w:tc>
          <w:p>
            <w:r>
              <w:t xml:space="preserve">A long parameter list can indicate that a new structure should be created to wrap the numerous parameters or that the function is doing too many
things.
Noncompliant Code Example
With a maximum number of 4 parameters:
function doSomething(param1, param2, param3, param4, param5) {
...
}
Compliant Solution
function doSomething(param1, param2, param3, param4) {
...
}
Exceptions
The rule ignores constructors where parameters are all parameter properties:
class C {
  constructor(
    private param1: number,
    private param2: boolean,
    private param3: string,
    private param4: string[],
    private param5: number | string
  ) {}
}
The rule also ignores Angular component constructors:
import { Component } from '@angular/core';
@Component({/* ... */})
class Component {
  constructor(p1, p2, p3, p4, p5) {}
}
</w:t>
            </w:r>
          </w:p>
        </w:tc>
        <w:tc>
          <w:p>
            <w:r>
              <w:t>CODE_SMELL</w:t>
            </w:r>
          </w:p>
        </w:tc>
        <w:tc>
          <w:p>
            <w:r>
              <w:t>MAJOR</w:t>
            </w:r>
          </w:p>
        </w:tc>
        <w:tc>
          <w:p>
            <w:r>
              <w:t>1</w:t>
            </w:r>
          </w:p>
        </w:tc>
      </w:tr>
      <w:tr>
        <w:tc>
          <w:p>
            <w:r>
              <w:t>Sections of code should not be commented out</w:t>
            </w:r>
          </w:p>
        </w:tc>
        <w:tc>
          <w:p>
            <w:r>
              <w:t>Programmers should not comment out code as it bloats programs and reduces readability.
Unused code should be deleted and can be retrieved from source control history if required.</w:t>
            </w:r>
          </w:p>
        </w:tc>
        <w:tc>
          <w:p>
            <w:r>
              <w:t>CODE_SMELL</w:t>
            </w:r>
          </w:p>
        </w:tc>
        <w:tc>
          <w:p>
            <w:r>
              <w:t>MAJOR</w:t>
            </w:r>
          </w:p>
        </w:tc>
        <w:tc>
          <w:p>
            <w:r>
              <w:t>21</w:t>
            </w:r>
          </w:p>
        </w:tc>
      </w:tr>
      <w:tr>
        <w:tc>
          <w:p>
            <w:r>
              <w:t>Functions should not have identical implementations</w:t>
            </w:r>
          </w:p>
        </w:tc>
        <w:tc>
          <w:p>
            <w:r>
              <w:t xml:space="preserve">When two functions have the same implementation, either it was a mistake - something else was intended - or the duplication was intentional, but
may be confusing to maintainers. In the latter case, the code should be refactored.
Noncompliant Code Example
function calculateCode() {
  doTheThing();
  doOtherThing();
  return code;
}
function getName() {  // Noncompliant
  doTheThing();
  doOtherThing();
  return code;
}
Compliant Solution
function calculateCode() {
  doTheThing();
  doOtherThing();
  return code;
}
function getName() {
  return calculateCode();
}
Exceptions
   Functions with fewer than 3 lines are ignored. 
   This rule does not apply to function expressions and arrow functions because they don’t have explicit names and are often used in a way where
  refactoring is not applicable. 
list.map((item) =&amp;gt; ({
  name: item.name,
  address: item.address,
  country: item.country
}));
</w:t>
            </w:r>
          </w:p>
        </w:tc>
        <w:tc>
          <w:p>
            <w:r>
              <w:t>CODE_SMELL</w:t>
            </w:r>
          </w:p>
        </w:tc>
        <w:tc>
          <w:p>
            <w:r>
              <w:t>MAJOR</w:t>
            </w:r>
          </w:p>
        </w:tc>
        <w:tc>
          <w:p>
            <w:r>
              <w:t>2</w:t>
            </w:r>
          </w:p>
        </w:tc>
      </w:tr>
      <w:tr>
        <w:tc>
          <w:p>
            <w:r>
              <w:t>Class names should comply with a naming convention</w:t>
            </w:r>
          </w:p>
        </w:tc>
        <w:tc>
          <w:p>
            <w:r>
              <w:t xml:space="preserve">Shared coding conventions allow teams to collaborate effectively. This rule allows to check that all class names (and interfaces for TypeScript)
match a provided regular expression.
Noncompliant Code Example
With default provided regular expression ^[A-Z][a-zA-Z0-9]*$:
class my_class {...}
Compliant Solution
class MyClass {...}
</w:t>
            </w:r>
          </w:p>
        </w:tc>
        <w:tc>
          <w:p>
            <w:r>
              <w:t>CODE_SMELL</w:t>
            </w:r>
          </w:p>
        </w:tc>
        <w:tc>
          <w:p>
            <w:r>
              <w:t>MINOR</w:t>
            </w:r>
          </w:p>
        </w:tc>
        <w:tc>
          <w:p>
            <w:r>
              <w:t>4</w:t>
            </w:r>
          </w:p>
        </w:tc>
      </w:tr>
      <w:tr>
        <w:tc>
          <w:p>
            <w:r>
              <w:t>Unnecessary imports should be removed</w:t>
            </w:r>
          </w:p>
        </w:tc>
        <w:tc>
          <w:p>
            <w:r>
              <w:t xml:space="preserve">There’s no reason to import modules you don’t use; and every reason not to: doing so needlessly increases the load.
Noncompliant Code Example
import A from 'a';      // Noncompliant, A isn't used
import { B1 } from 'b';
console.log(B1);
Compliant Solution
import { B1 } from 'b';
console.log(B1);
</w:t>
            </w:r>
          </w:p>
        </w:tc>
        <w:tc>
          <w:p>
            <w:r>
              <w:t>CODE_SMELL</w:t>
            </w:r>
          </w:p>
        </w:tc>
        <w:tc>
          <w:p>
            <w:r>
              <w:t>MINOR</w:t>
            </w:r>
          </w:p>
        </w:tc>
        <w:tc>
          <w:p>
            <w:r>
              <w:t>4</w:t>
            </w:r>
          </w:p>
        </w:tc>
      </w:tr>
      <w:tr>
        <w:tc>
          <w:p>
            <w:r>
              <w:t>Deprecated APIs should not be used</w:t>
            </w:r>
          </w:p>
        </w:tc>
        <w:tc>
          <w:p>
            <w:r>
              <w:t xml:space="preserve">Once deprecated, classes, and interfaces, and their members should be avoided, rather than used, inherited or extended. Deprecation is a warning
that the class or interface has been superseded, and will eventually be removed. The deprecation period allows you to make a smooth transition away
from the aging, soon-to-be-retired technology.
Noncompliant Code Example
export interface LanguageService {
  /**
  * @deprecated Use getEncodedSyntacticClassifications instead.
  */
  getSyntacticClassifications(fileName: string, span: TextSpan): ClassifiedSpan[];
}
const syntacticClassifications = getLanguageService().getSyntacticClassifications(file, span); // Noncompliant
See
   MITRE, CWE-477 - Use of Obsolete Functions 
</w:t>
            </w:r>
          </w:p>
        </w:tc>
        <w:tc>
          <w:p>
            <w:r>
              <w:t>CODE_SMELL</w:t>
            </w:r>
          </w:p>
        </w:tc>
        <w:tc>
          <w:p>
            <w:r>
              <w:t>MINOR</w:t>
            </w:r>
          </w:p>
        </w:tc>
        <w:tc>
          <w:p>
            <w:r>
              <w:t>2</w:t>
            </w:r>
          </w:p>
        </w:tc>
      </w:tr>
      <w:tr>
        <w:tc>
          <w:p>
            <w:r>
              <w:t>Boolean checks should not be inverted</w:t>
            </w:r>
          </w:p>
        </w:tc>
        <w:tc>
          <w:p>
            <w:r>
              <w:t xml:space="preserve">It is needlessly complex to invert the result of a boolean comparison. The opposite comparison should be made instead.
Noncompliant Code Example
if (!(a === 2)) { ... }  // Noncompliant
Compliant Solution
if (a !== 2) { ... }
</w:t>
            </w:r>
          </w:p>
        </w:tc>
        <w:tc>
          <w:p>
            <w:r>
              <w:t>CODE_SMELL</w:t>
            </w:r>
          </w:p>
        </w:tc>
        <w:tc>
          <w:p>
            <w:r>
              <w:t>MINOR</w:t>
            </w:r>
          </w:p>
        </w:tc>
        <w:tc>
          <w:p>
            <w:r>
              <w:t>1</w:t>
            </w:r>
          </w:p>
        </w:tc>
      </w:tr>
      <w:tr>
        <w:tc>
          <w:p>
            <w:r>
              <w:t>Jump statements should not be redundant</w:t>
            </w:r>
          </w:p>
        </w:tc>
        <w:tc>
          <w:p>
            <w:r>
              <w:t>Jump statements, such as return, break and continue let you change the default flow of program execution,
but jump statements that direct the control flow to the original direction are just a waste of keystrokes.
Noncompliant Code Example
function redundantJump(x) {
  if (x == 1) {
    console.log("x == 1");
    return; // Noncompliant
  }
}
Compliant Solution
function redundantJump(x) {
  if (x == 1) {
    console.log("x == 1");
  }
}
Exceptions
break and return inside switch statement are ignored, because they are often used for consistency.
continue with label is also ignored, because label is usually used for clarity. Also a jump statement being a single statement in a block
is ignored.</w:t>
            </w:r>
          </w:p>
        </w:tc>
        <w:tc>
          <w:p>
            <w:r>
              <w:t>CODE_SMELL</w:t>
            </w:r>
          </w:p>
        </w:tc>
        <w:tc>
          <w:p>
            <w:r>
              <w:t>MINOR</w:t>
            </w:r>
          </w:p>
        </w:tc>
        <w:tc>
          <w:p>
            <w:r>
              <w:t>1</w:t>
            </w:r>
          </w:p>
        </w:tc>
      </w:tr>
      <w:tr>
        <w:tc>
          <w:p>
            <w:r>
              <w:t>Redundant casts and non-null assertions should be avoided</w:t>
            </w:r>
          </w:p>
        </w:tc>
        <w:tc>
          <w:p>
            <w:r>
              <w:t xml:space="preserve">The TypeScript compiler automatically casts a variable to the relevant type inside conditionals where it is possible to infer the type (because
typeof, instanceof, etc was used). This compiler feature makes casts and not-null assertions unnecessary.
Noncompliant Code Example
function getName(x?: string | UserName) {
  if (x) {
    console.log("Getting name for " + x!); // Noncompliant
    if (typeof x === "string")
      return (x as string); // Noncompliant
    else
      return (x as UserName).name; // Noncompliant
  }
  return "NoName";
}
Compliant Solution
function getName(x?: string | UserName) {
  if (x) {
    console.log("Getting name for " + x);
    if (typeof x === "string")
      return x;
    else
      return x.name;
  }
  return "NoName";
}
</w:t>
            </w:r>
          </w:p>
        </w:tc>
        <w:tc>
          <w:p>
            <w:r>
              <w:t>CODE_SMELL</w:t>
            </w:r>
          </w:p>
        </w:tc>
        <w:tc>
          <w:p>
            <w:r>
              <w:t>MINOR</w:t>
            </w:r>
          </w:p>
        </w:tc>
        <w:tc>
          <w:p>
            <w:r>
              <w:t>1</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tulo1"/>
        <w:rPr>
          <w:lang w:val="en-US"/>
        </w:rPr>
      </w:pPr>
      <w:bookmarkStart w:id="21" w:name="_Toc97156273"/>
      <w:r>
        <w:rPr>
          <w:lang w:val="en-US"/>
        </w:rPr>
        <w:lastRenderedPageBreak/>
        <w:t>Security Hotspots</w:t>
      </w:r>
      <w:bookmarkEnd w:id="21"/>
    </w:p>
    <w:p w:rsidR="00265064" w:rsidRDefault="00C45E1C" w:rsidP="00E01693">
      <w:pPr>
        <w:pStyle w:val="Ttulo2"/>
        <w:rPr>
          <w:lang w:val="en-US"/>
        </w:rPr>
      </w:pPr>
      <w:bookmarkStart w:id="22" w:name="_Toc97156274"/>
      <w:r>
        <w:rPr>
          <w:lang w:val="en-US"/>
        </w:rPr>
        <w:t>Security hotspots count by category and priority</w:t>
      </w:r>
      <w:bookmarkEnd w:id="22"/>
    </w:p>
    <w:tbl>
      <w:tblPr>
        <w:tblStyle w:val="Sombreadoclaro-nfasis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0</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10</w:t>
            </w:r>
          </w:p>
        </w:tc>
      </w:tr>
      <w:tr>
        <w:tc>
          <w:p>
            <w:r>
              <w:t>Weak Cryptography</w:t>
            </w:r>
          </w:p>
        </w:tc>
        <w:tc>
          <w:p>
            <w:r>
              <w:t>0</w:t>
            </w:r>
          </w:p>
        </w:tc>
        <w:tc>
          <w:p>
            <w:r>
              <w:t>0</w:t>
            </w:r>
          </w:p>
        </w:tc>
        <w:tc>
          <w:p>
            <w:r>
              <w:t>0</w:t>
            </w:r>
          </w:p>
        </w:tc>
      </w:tr>
      <w:tr>
        <w:tc>
          <w:p>
            <w:r>
              <w:t>Denial of Service (DoS)</w:t>
            </w:r>
          </w:p>
        </w:tc>
        <w:tc>
          <w:p>
            <w:r>
              <w:t>0</w:t>
            </w:r>
          </w:p>
        </w:tc>
        <w:tc>
          <w:p>
            <w:r>
              <w:t>1</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0</w:t>
            </w:r>
          </w:p>
        </w:tc>
      </w:tr>
      <w:tr>
        <w:tc>
          <w:p>
            <w:r>
              <w:t>Open Redirect</w:t>
            </w:r>
          </w:p>
        </w:tc>
        <w:tc>
          <w:p>
            <w:r>
              <w:t>0</w:t>
            </w:r>
          </w:p>
        </w:tc>
        <w:tc>
          <w:p>
            <w:r>
              <w:t>0</w:t>
            </w:r>
          </w:p>
        </w:tc>
        <w:tc>
          <w:p>
            <w:r>
              <w:t>0</w:t>
            </w:r>
          </w:p>
        </w:tc>
      </w:tr>
      <w:tr>
        <w:tc>
          <w:p>
            <w:r>
              <w:t>Permission</w:t>
            </w:r>
          </w:p>
        </w:tc>
        <w:tc>
          <w:p>
            <w:r>
              <w:t>0</w:t>
            </w:r>
          </w:p>
        </w:tc>
        <w:tc>
          <w:p>
            <w:r>
              <w:t>1</w:t>
            </w:r>
          </w:p>
        </w:tc>
        <w:tc>
          <w:p>
            <w:r>
              <w:t>0</w:t>
            </w:r>
          </w:p>
        </w:tc>
      </w:tr>
      <w:tr>
        <w:tc>
          <w:p>
            <w:r>
              <w:t>SQL Injection</w:t>
            </w:r>
          </w:p>
        </w:tc>
        <w:tc>
          <w:p>
            <w:r>
              <w:t>0</w:t>
            </w:r>
          </w:p>
        </w:tc>
        <w:tc>
          <w:p>
            <w:r>
              <w:t>0</w:t>
            </w:r>
          </w:p>
        </w:tc>
        <w:tc>
          <w:p>
            <w:r>
              <w:t>0</w:t>
            </w:r>
          </w:p>
        </w:tc>
      </w:tr>
      <w:tr>
        <w:tc>
          <w:p>
            <w:r>
              <w:t>Encryption of Sensitive Data</w:t>
            </w:r>
          </w:p>
        </w:tc>
        <w:tc>
          <w:p>
            <w:r>
              <w:t>2</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0</w:t>
            </w:r>
          </w:p>
        </w:tc>
        <w:tc>
          <w:p>
            <w:r>
              <w:t>0</w:t>
            </w:r>
          </w:p>
        </w:tc>
        <w:tc>
          <w:p>
            <w:r>
              <w:t>0</w:t>
            </w:r>
          </w:p>
        </w:tc>
      </w:tr>
    </w:tbl>
    <w:p w:rsidR="00E01693" w:rsidRPr="00E01693" w:rsidRDefault="00E01693" w:rsidP="00E01693">
      <w:pPr>
        <w:rPr>
          <w:lang w:val="en-US"/>
        </w:rPr>
      </w:pPr>
    </w:p>
    <w:p w:rsidR="00AC53C2" w:rsidRDefault="005D0643" w:rsidP="00E01693">
      <w:pPr>
        <w:pStyle w:val="Ttulo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Sombreadoclaro-nfasis5"/>
        <w:tblW w:w="5000" w:type="pct"/>
        <w:tblLook w:val="0420" w:firstRow="1" w:lastRow="0" w:firstColumn="0" w:lastColumn="0" w:noHBand="0" w:noVBand="1"/>
      </w:tblPr>
      <w:tblGrid>
        <w:gridCol w:w="9854"/>
      </w:tblGrid>
      <w:tr>
        <w:tc>
          <w:p>
            <w:r>
              <w:t>Category</w:t>
            </w:r>
          </w:p>
        </w:tc>
        <w:tc>
          <w:p>
            <w:r>
              <w:t>Name</w:t>
            </w:r>
          </w:p>
        </w:tc>
        <w:tc>
          <w:p>
            <w:r>
              <w:t>Priority</w:t>
            </w:r>
          </w:p>
        </w:tc>
        <w:tc>
          <w:p>
            <w:r>
              <w:t>Severity</w:t>
            </w:r>
          </w:p>
        </w:tc>
        <w:tc>
          <w:p>
            <w:r>
              <w:t>Count</w:t>
            </w:r>
          </w:p>
        </w:tc>
      </w:tr>
      <w:tr>
        <w:tc>
          <w:p>
            <w:r>
              <w:t>Permission</w:t>
            </w:r>
          </w:p>
        </w:tc>
        <w:tc>
          <w:p>
            <w:r>
              <w:t>Recursively copying context directories is security-sensitive</w:t>
            </w:r>
          </w:p>
        </w:tc>
        <w:tc>
          <w:p>
            <w:r>
              <w:t>MEDIUM</w:t>
            </w:r>
          </w:p>
        </w:tc>
        <w:tc>
          <w:p>
            <w:r>
              <w:t>CRITICAL</w:t>
            </w:r>
          </w:p>
        </w:tc>
        <w:tc>
          <w:p>
            <w:r>
              <w:t>1</w:t>
            </w:r>
          </w:p>
        </w:tc>
      </w:tr>
      <w:tr>
        <w:tc>
          <w:p>
            <w:r>
              <w:t>Authentication</w:t>
            </w:r>
          </w:p>
        </w:tc>
        <w:tc>
          <w:p>
            <w:r>
              <w:t>Using ENV to handle secrets is security-sensitive</w:t>
            </w:r>
          </w:p>
        </w:tc>
        <w:tc>
          <w:p>
            <w:r>
              <w:t>HIGH</w:t>
            </w:r>
          </w:p>
        </w:tc>
        <w:tc>
          <w:p>
            <w:r>
              <w:t>BLOCKER</w:t>
            </w:r>
          </w:p>
        </w:tc>
        <w:tc>
          <w:p>
            <w:r>
              <w:t>1</w:t>
            </w:r>
          </w:p>
        </w:tc>
      </w:tr>
      <w:tr>
        <w:tc>
          <w:p>
            <w:r>
              <w:t>Authentication</w:t>
            </w:r>
          </w:p>
        </w:tc>
        <w:tc>
          <w:p>
            <w:r>
              <w:t>Hard-coded credentials are security-sensitive</w:t>
            </w:r>
          </w:p>
        </w:tc>
        <w:tc>
          <w:p>
            <w:r>
              <w:t>HIGH</w:t>
            </w:r>
          </w:p>
        </w:tc>
        <w:tc>
          <w:p>
            <w:r>
              <w:t>BLOCKER</w:t>
            </w:r>
          </w:p>
        </w:tc>
        <w:tc>
          <w:p>
            <w:r>
              <w:t>9</w:t>
            </w:r>
          </w:p>
        </w:tc>
      </w:tr>
      <w:tr>
        <w:tc>
          <w:p>
            <w:r>
              <w:t>Denial of Service (DoS)</w:t>
            </w:r>
          </w:p>
        </w:tc>
        <w:tc>
          <w:p>
            <w:r>
              <w:t>Using slow regular expressions is security-sensitive</w:t>
            </w:r>
          </w:p>
        </w:tc>
        <w:tc>
          <w:p>
            <w:r>
              <w:t>MEDIUM</w:t>
            </w:r>
          </w:p>
        </w:tc>
        <w:tc>
          <w:p>
            <w:r>
              <w:t>CRITICAL</w:t>
            </w:r>
          </w:p>
        </w:tc>
        <w:tc>
          <w:p>
            <w:r>
              <w:t>1</w:t>
            </w:r>
          </w:p>
        </w:tc>
      </w:tr>
      <w:tr>
        <w:tc>
          <w:p>
            <w:r>
              <w:t>Encryption of Sensitive Data</w:t>
            </w:r>
          </w:p>
        </w:tc>
        <w:tc>
          <w:p>
            <w:r>
              <w:t>Using clear-text protocols is security-sensitive</w:t>
            </w:r>
          </w:p>
        </w:tc>
        <w:tc>
          <w:p>
            <w:r>
              <w:t>LOW</w:t>
            </w:r>
          </w:p>
        </w:tc>
        <w:tc>
          <w:p>
            <w:r>
              <w:t>CRITICAL</w:t>
            </w:r>
          </w:p>
        </w:tc>
        <w:tc>
          <w:p>
            <w:r>
              <w:t>2</w:t>
            </w:r>
          </w:p>
        </w:tc>
      </w:tr>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7A79" w:rsidRDefault="00917A79">
      <w:r>
        <w:separator/>
      </w:r>
    </w:p>
  </w:endnote>
  <w:endnote w:type="continuationSeparator" w:id="0">
    <w:p w:rsidR="00917A79" w:rsidRDefault="0091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826036"/>
      <w:docPartObj>
        <w:docPartGallery w:val="Page Numbers (Bottom of Page)"/>
        <w:docPartUnique/>
      </w:docPartObj>
    </w:sdtPr>
    <w:sdtEndPr/>
    <w:sdtContent>
      <w:p w:rsidR="001F5FAC" w:rsidRDefault="001F5FAC">
        <w:pPr>
          <w:pStyle w:val="Piedepgina"/>
        </w:pPr>
        <w:r>
          <w:rPr>
            <w:noProof/>
            <w:lang w:val="es-ES" w:eastAsia="es-ES"/>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7A79" w:rsidRDefault="00917A79">
      <w:r>
        <w:separator/>
      </w:r>
    </w:p>
  </w:footnote>
  <w:footnote w:type="continuationSeparator" w:id="0">
    <w:p w:rsidR="00917A79" w:rsidRDefault="00917A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064" w:rsidRDefault="001F5FAC" w:rsidP="001F5FAC">
    <w:pPr>
      <w:pStyle w:val="Encabezado"/>
      <w:jc w:val="left"/>
    </w:pPr>
    <w:r>
      <w:t>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30739"/>
    <w:rsid w:val="00232D15"/>
    <w:rsid w:val="002432F1"/>
    <w:rsid w:val="002544A9"/>
    <w:rsid w:val="00255912"/>
    <w:rsid w:val="00265064"/>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tulo1">
    <w:name w:val="heading 1"/>
    <w:basedOn w:val="Normal"/>
    <w:next w:val="Normal"/>
    <w:link w:val="Ttulo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tulo3">
    <w:name w:val="heading 3"/>
    <w:basedOn w:val="Normal"/>
    <w:next w:val="Normal"/>
    <w:link w:val="Ttulo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tulo4">
    <w:name w:val="heading 4"/>
    <w:basedOn w:val="Normal"/>
    <w:next w:val="Normal"/>
    <w:link w:val="Ttulo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tulo5">
    <w:name w:val="heading 5"/>
    <w:basedOn w:val="Normal"/>
    <w:next w:val="Normal"/>
    <w:link w:val="Ttulo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tulo6">
    <w:name w:val="heading 6"/>
    <w:basedOn w:val="Normal"/>
    <w:next w:val="Normal"/>
    <w:link w:val="Ttulo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tulo7">
    <w:name w:val="heading 7"/>
    <w:basedOn w:val="Normal"/>
    <w:next w:val="Normal"/>
    <w:link w:val="Ttulo7Car"/>
    <w:uiPriority w:val="9"/>
    <w:unhideWhenUsed/>
    <w:qFormat/>
    <w:rsid w:val="001F5FAC"/>
    <w:pPr>
      <w:spacing w:before="300" w:after="0"/>
      <w:outlineLvl w:val="6"/>
    </w:pPr>
    <w:rPr>
      <w:caps/>
      <w:color w:val="003C6C" w:themeColor="accent1" w:themeShade="BF"/>
      <w:spacing w:val="10"/>
      <w:sz w:val="22"/>
      <w:szCs w:val="22"/>
    </w:rPr>
  </w:style>
  <w:style w:type="paragraph" w:styleId="Ttulo8">
    <w:name w:val="heading 8"/>
    <w:basedOn w:val="Normal"/>
    <w:next w:val="Normal"/>
    <w:link w:val="Ttulo8Car"/>
    <w:uiPriority w:val="9"/>
    <w:unhideWhenUsed/>
    <w:qFormat/>
    <w:rsid w:val="001F5FAC"/>
    <w:pPr>
      <w:spacing w:before="300" w:after="0"/>
      <w:outlineLvl w:val="7"/>
    </w:pPr>
    <w:rPr>
      <w:caps/>
      <w:spacing w:val="10"/>
      <w:sz w:val="18"/>
      <w:szCs w:val="18"/>
    </w:rPr>
  </w:style>
  <w:style w:type="paragraph" w:styleId="Ttulo9">
    <w:name w:val="heading 9"/>
    <w:basedOn w:val="Normal"/>
    <w:next w:val="Normal"/>
    <w:link w:val="Ttulo9Car"/>
    <w:uiPriority w:val="9"/>
    <w:unhideWhenUsed/>
    <w:qFormat/>
    <w:rsid w:val="001F5FAC"/>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5FAC"/>
    <w:rPr>
      <w:b/>
      <w:bCs/>
      <w:caps/>
      <w:color w:val="FFFFFF" w:themeColor="background1"/>
      <w:spacing w:val="15"/>
      <w:shd w:val="clear" w:color="auto" w:fill="005191" w:themeFill="accent1"/>
    </w:rPr>
  </w:style>
  <w:style w:type="character" w:customStyle="1" w:styleId="Ttulo2Car">
    <w:name w:val="Título 2 Car"/>
    <w:basedOn w:val="Fuentedeprrafopredeter"/>
    <w:link w:val="Ttulo2"/>
    <w:uiPriority w:val="9"/>
    <w:rsid w:val="001F5FAC"/>
    <w:rPr>
      <w:caps/>
      <w:spacing w:val="15"/>
      <w:shd w:val="clear" w:color="auto" w:fill="B6DEFF" w:themeFill="accent1" w:themeFillTint="33"/>
    </w:rPr>
  </w:style>
  <w:style w:type="character" w:customStyle="1" w:styleId="Ttulo3Car">
    <w:name w:val="Título 3 Car"/>
    <w:basedOn w:val="Fuentedeprrafopredeter"/>
    <w:link w:val="Ttulo3"/>
    <w:uiPriority w:val="9"/>
    <w:rsid w:val="001F5FAC"/>
    <w:rPr>
      <w:caps/>
      <w:color w:val="002848" w:themeColor="accent1" w:themeShade="7F"/>
      <w:spacing w:val="15"/>
    </w:rPr>
  </w:style>
  <w:style w:type="character" w:customStyle="1" w:styleId="Ttulo4Car">
    <w:name w:val="Título 4 Car"/>
    <w:basedOn w:val="Fuentedeprrafopredeter"/>
    <w:link w:val="Ttulo4"/>
    <w:uiPriority w:val="9"/>
    <w:rsid w:val="001F5FAC"/>
    <w:rPr>
      <w:caps/>
      <w:color w:val="003C6C" w:themeColor="accent1" w:themeShade="BF"/>
      <w:spacing w:val="10"/>
    </w:rPr>
  </w:style>
  <w:style w:type="character" w:customStyle="1" w:styleId="Ttulo5Car">
    <w:name w:val="Título 5 Car"/>
    <w:basedOn w:val="Fuentedeprrafopredeter"/>
    <w:link w:val="Ttulo5"/>
    <w:uiPriority w:val="9"/>
    <w:rsid w:val="001F5FAC"/>
    <w:rPr>
      <w:caps/>
      <w:color w:val="003C6C" w:themeColor="accent1" w:themeShade="BF"/>
      <w:spacing w:val="10"/>
    </w:rPr>
  </w:style>
  <w:style w:type="character" w:customStyle="1" w:styleId="Ttulo6Car">
    <w:name w:val="Título 6 Car"/>
    <w:basedOn w:val="Fuentedeprrafopredeter"/>
    <w:link w:val="Ttulo6"/>
    <w:uiPriority w:val="9"/>
    <w:rsid w:val="001F5FAC"/>
    <w:rPr>
      <w:caps/>
      <w:color w:val="003C6C" w:themeColor="accent1" w:themeShade="BF"/>
      <w:spacing w:val="10"/>
    </w:rPr>
  </w:style>
  <w:style w:type="character" w:customStyle="1" w:styleId="Ttulo7Car">
    <w:name w:val="Título 7 Car"/>
    <w:basedOn w:val="Fuentedeprrafopredeter"/>
    <w:link w:val="Ttulo7"/>
    <w:uiPriority w:val="9"/>
    <w:rsid w:val="001F5FAC"/>
    <w:rPr>
      <w:caps/>
      <w:color w:val="003C6C" w:themeColor="accent1" w:themeShade="BF"/>
      <w:spacing w:val="10"/>
    </w:rPr>
  </w:style>
  <w:style w:type="character" w:customStyle="1" w:styleId="Ttulo8Car">
    <w:name w:val="Título 8 Car"/>
    <w:basedOn w:val="Fuentedeprrafopredeter"/>
    <w:link w:val="Ttulo8"/>
    <w:uiPriority w:val="9"/>
    <w:rsid w:val="001F5FAC"/>
    <w:rPr>
      <w:caps/>
      <w:spacing w:val="10"/>
      <w:sz w:val="18"/>
      <w:szCs w:val="18"/>
    </w:rPr>
  </w:style>
  <w:style w:type="character" w:customStyle="1" w:styleId="Ttulo9Car">
    <w:name w:val="Título 9 Car"/>
    <w:basedOn w:val="Fuentedeprrafopredeter"/>
    <w:link w:val="Ttulo9"/>
    <w:uiPriority w:val="9"/>
    <w:rsid w:val="001F5FAC"/>
    <w:rPr>
      <w:i/>
      <w:caps/>
      <w:spacing w:val="10"/>
      <w:sz w:val="18"/>
      <w:szCs w:val="18"/>
    </w:rPr>
  </w:style>
  <w:style w:type="character" w:customStyle="1" w:styleId="TextodegloboCar">
    <w:name w:val="Texto de globo Car"/>
    <w:basedOn w:val="Fuentedeprrafopredeter"/>
    <w:link w:val="Textodeglobo"/>
    <w:uiPriority w:val="99"/>
    <w:semiHidden/>
    <w:rsid w:val="002517D7"/>
    <w:rPr>
      <w:rFonts w:ascii="Tahoma" w:hAnsi="Tahoma" w:cs="Tahoma"/>
      <w:sz w:val="16"/>
      <w:szCs w:val="16"/>
    </w:rPr>
  </w:style>
  <w:style w:type="character" w:customStyle="1" w:styleId="En-tteCar">
    <w:name w:val="En-tête Car"/>
    <w:basedOn w:val="Fuentedeprrafopredeter"/>
    <w:uiPriority w:val="99"/>
    <w:rsid w:val="008F5264"/>
    <w:rPr>
      <w:rFonts w:ascii="Arial" w:eastAsia="Times New Roman" w:hAnsi="Arial" w:cs="Arial"/>
      <w:sz w:val="20"/>
      <w:szCs w:val="20"/>
    </w:rPr>
  </w:style>
  <w:style w:type="character" w:styleId="Nmerodepgina">
    <w:name w:val="page number"/>
    <w:basedOn w:val="Fuentedeprrafopredeter"/>
    <w:rsid w:val="008F5264"/>
  </w:style>
  <w:style w:type="character" w:customStyle="1" w:styleId="PiedepginaCar">
    <w:name w:val="Pie de página Car"/>
    <w:basedOn w:val="Fuentedeprrafopredeter"/>
    <w:link w:val="Piedepgina"/>
    <w:uiPriority w:val="99"/>
    <w:qFormat/>
    <w:rsid w:val="008F5264"/>
    <w:rPr>
      <w:rFonts w:ascii="Arial" w:eastAsia="Times New Roman" w:hAnsi="Arial" w:cs="Arial"/>
      <w:sz w:val="10"/>
      <w:szCs w:val="10"/>
      <w:lang w:eastAsia="fr-FR"/>
    </w:rPr>
  </w:style>
  <w:style w:type="character" w:customStyle="1" w:styleId="LienInternet">
    <w:name w:val="Lien Internet"/>
    <w:basedOn w:val="Fuentedeprrafopredeter"/>
    <w:uiPriority w:val="99"/>
    <w:rsid w:val="00D060DA"/>
    <w:rPr>
      <w:color w:val="0000FF"/>
      <w:u w:val="single"/>
    </w:rPr>
  </w:style>
  <w:style w:type="character" w:customStyle="1" w:styleId="PuestoCar">
    <w:name w:val="Puesto Car"/>
    <w:basedOn w:val="Fuentedeprrafopredeter"/>
    <w:link w:val="Puesto"/>
    <w:uiPriority w:val="10"/>
    <w:rsid w:val="001F5FAC"/>
    <w:rPr>
      <w:caps/>
      <w:color w:val="005191" w:themeColor="accent1"/>
      <w:spacing w:val="10"/>
      <w:kern w:val="28"/>
      <w:sz w:val="52"/>
      <w:szCs w:val="52"/>
    </w:rPr>
  </w:style>
  <w:style w:type="character" w:customStyle="1" w:styleId="CodeCar">
    <w:name w:val="Code Car"/>
    <w:basedOn w:val="Fuentedeprrafopredeter"/>
    <w:link w:val="Code"/>
    <w:rsid w:val="00C70664"/>
    <w:rPr>
      <w:rFonts w:ascii="Courier New" w:hAnsi="Courier New" w:cs="Courier New"/>
      <w:color w:val="FFFFFF" w:themeColor="background1"/>
      <w:shd w:val="clear" w:color="auto" w:fill="000000"/>
      <w:lang w:val="en-US"/>
    </w:rPr>
  </w:style>
  <w:style w:type="character" w:customStyle="1" w:styleId="HTMLconformatoprevioCar">
    <w:name w:val="HTML con formato previo Car"/>
    <w:basedOn w:val="Fuentedeprrafopredeter"/>
    <w:link w:val="HTMLconformatoprevio"/>
    <w:uiPriority w:val="99"/>
    <w:semiHidden/>
    <w:rsid w:val="00FD546F"/>
    <w:rPr>
      <w:rFonts w:ascii="Courier New" w:eastAsia="Times New Roman" w:hAnsi="Courier New" w:cs="Courier New"/>
      <w:lang w:eastAsia="fr-FR"/>
    </w:rPr>
  </w:style>
  <w:style w:type="character" w:styleId="CdigoHTML">
    <w:name w:val="HTML Code"/>
    <w:basedOn w:val="Fuentedeprrafopredeter"/>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Fuentedeprrafopredeter"/>
    <w:link w:val="Description"/>
    <w:rsid w:val="00DC2588"/>
    <w:rPr>
      <w:shd w:val="clear" w:color="auto" w:fill="C6D9F1"/>
      <w:lang w:val="en-US"/>
    </w:rPr>
  </w:style>
  <w:style w:type="character" w:styleId="Textodelmarcadordeposicin">
    <w:name w:val="Placeholder Text"/>
    <w:basedOn w:val="Fuentedeprrafopredeter"/>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Puesto">
    <w:name w:val="Title"/>
    <w:basedOn w:val="Normal"/>
    <w:next w:val="Normal"/>
    <w:link w:val="PuestoCar"/>
    <w:uiPriority w:val="10"/>
    <w:qFormat/>
    <w:rsid w:val="001F5FAC"/>
    <w:pPr>
      <w:spacing w:before="720"/>
    </w:pPr>
    <w:rPr>
      <w:caps/>
      <w:color w:val="005191" w:themeColor="accent1"/>
      <w:spacing w:val="10"/>
      <w:kern w:val="28"/>
      <w:sz w:val="52"/>
      <w:szCs w:val="52"/>
    </w:rPr>
  </w:style>
  <w:style w:type="paragraph" w:styleId="Textoindependiente">
    <w:name w:val="Body Text"/>
    <w:basedOn w:val="Normal"/>
    <w:pPr>
      <w:spacing w:after="140" w:line="288" w:lineRule="auto"/>
    </w:pPr>
  </w:style>
  <w:style w:type="paragraph" w:styleId="Lista">
    <w:name w:val="List"/>
    <w:basedOn w:val="Textoindependiente"/>
    <w:rPr>
      <w:rFonts w:cs="Mangal"/>
    </w:rPr>
  </w:style>
  <w:style w:type="paragraph" w:styleId="Descripcin">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odeglobo">
    <w:name w:val="Balloon Text"/>
    <w:basedOn w:val="Normal"/>
    <w:link w:val="TextodegloboCar"/>
    <w:uiPriority w:val="99"/>
    <w:semiHidden/>
    <w:unhideWhenUsed/>
    <w:rsid w:val="002517D7"/>
    <w:rPr>
      <w:rFonts w:ascii="Tahoma" w:hAnsi="Tahoma" w:cs="Tahoma"/>
      <w:sz w:val="16"/>
      <w:szCs w:val="16"/>
    </w:rPr>
  </w:style>
  <w:style w:type="paragraph" w:styleId="Encabezado">
    <w:name w:val="header"/>
    <w:basedOn w:val="Normal"/>
    <w:rsid w:val="008F5264"/>
    <w:pPr>
      <w:ind w:right="1134"/>
      <w:jc w:val="right"/>
    </w:pPr>
  </w:style>
  <w:style w:type="paragraph" w:styleId="Piedepgina">
    <w:name w:val="footer"/>
    <w:basedOn w:val="Normal"/>
    <w:link w:val="PiedepginaCar"/>
    <w:rsid w:val="008F5264"/>
    <w:rPr>
      <w:rFonts w:eastAsia="Times New Roman" w:cs="Arial"/>
      <w:sz w:val="10"/>
      <w:szCs w:val="10"/>
      <w:lang w:eastAsia="fr-FR"/>
    </w:rPr>
  </w:style>
  <w:style w:type="paragraph" w:styleId="Prrafodelista">
    <w:name w:val="List Paragraph"/>
    <w:basedOn w:val="Normal"/>
    <w:uiPriority w:val="34"/>
    <w:qFormat/>
    <w:rsid w:val="001F5FAC"/>
    <w:pPr>
      <w:ind w:left="720"/>
      <w:contextualSpacing/>
    </w:pPr>
  </w:style>
  <w:style w:type="paragraph" w:styleId="TtulodeTDC">
    <w:name w:val="TOC Heading"/>
    <w:basedOn w:val="Ttulo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HTMLconformatoprevio">
    <w:name w:val="HTML Preformatted"/>
    <w:basedOn w:val="Normal"/>
    <w:link w:val="HTMLconformatoprevio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aclara">
    <w:name w:val="Light List"/>
    <w:basedOn w:val="Tabla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Sombreadomedio1">
    <w:name w:val="Medium Shading 1"/>
    <w:basedOn w:val="Tabla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media1-nfasis5">
    <w:name w:val="Medium List 1 Accent 5"/>
    <w:basedOn w:val="Tabla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Cuadrculaclara-nfasis5">
    <w:name w:val="Light Grid Accent 5"/>
    <w:basedOn w:val="Tabla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ombreadoclaro-nfasis5">
    <w:name w:val="Light Shading Accent 5"/>
    <w:basedOn w:val="Tabla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DC1">
    <w:name w:val="toc 1"/>
    <w:basedOn w:val="Normal"/>
    <w:next w:val="Normal"/>
    <w:autoRedefine/>
    <w:uiPriority w:val="39"/>
    <w:unhideWhenUsed/>
    <w:rsid w:val="00BB4162"/>
    <w:pPr>
      <w:tabs>
        <w:tab w:val="right" w:leader="dot" w:pos="9628"/>
      </w:tabs>
      <w:spacing w:after="100"/>
    </w:pPr>
  </w:style>
  <w:style w:type="character" w:styleId="Hipervnculo">
    <w:name w:val="Hyperlink"/>
    <w:basedOn w:val="Fuentedeprrafopredeter"/>
    <w:uiPriority w:val="99"/>
    <w:unhideWhenUsed/>
    <w:rsid w:val="00E04451"/>
    <w:rPr>
      <w:color w:val="0000FF" w:themeColor="hyperlink"/>
      <w:u w:val="single"/>
    </w:rPr>
  </w:style>
  <w:style w:type="paragraph" w:styleId="Subttulo">
    <w:name w:val="Subtitle"/>
    <w:basedOn w:val="Normal"/>
    <w:next w:val="Normal"/>
    <w:link w:val="SubttuloCar"/>
    <w:uiPriority w:val="11"/>
    <w:qFormat/>
    <w:rsid w:val="00BB4162"/>
    <w:pPr>
      <w:spacing w:before="80" w:line="240" w:lineRule="auto"/>
      <w:jc w:val="center"/>
    </w:pPr>
    <w:rPr>
      <w:caps/>
      <w:color w:val="4BACC6" w:themeColor="accent5"/>
      <w:spacing w:val="10"/>
      <w:sz w:val="48"/>
      <w:szCs w:val="48"/>
    </w:rPr>
  </w:style>
  <w:style w:type="character" w:customStyle="1" w:styleId="SubttuloCar">
    <w:name w:val="Subtítulo Car"/>
    <w:basedOn w:val="Fuentedeprrafopredeter"/>
    <w:link w:val="Subttulo"/>
    <w:uiPriority w:val="11"/>
    <w:rsid w:val="00BB4162"/>
    <w:rPr>
      <w:caps/>
      <w:color w:val="4BACC6" w:themeColor="accent5"/>
      <w:spacing w:val="10"/>
      <w:sz w:val="48"/>
      <w:szCs w:val="48"/>
    </w:rPr>
  </w:style>
  <w:style w:type="character" w:styleId="Textoennegrita">
    <w:name w:val="Strong"/>
    <w:uiPriority w:val="22"/>
    <w:qFormat/>
    <w:rsid w:val="001F5FAC"/>
    <w:rPr>
      <w:b/>
      <w:bCs/>
    </w:rPr>
  </w:style>
  <w:style w:type="character" w:styleId="nfasis">
    <w:name w:val="Emphasis"/>
    <w:uiPriority w:val="20"/>
    <w:qFormat/>
    <w:rsid w:val="001F5FAC"/>
    <w:rPr>
      <w:caps/>
      <w:color w:val="002848" w:themeColor="accent1" w:themeShade="7F"/>
      <w:spacing w:val="5"/>
    </w:rPr>
  </w:style>
  <w:style w:type="paragraph" w:styleId="Sinespaciado">
    <w:name w:val="No Spacing"/>
    <w:basedOn w:val="Normal"/>
    <w:link w:val="SinespaciadoCar"/>
    <w:uiPriority w:val="1"/>
    <w:qFormat/>
    <w:rsid w:val="001F5FAC"/>
    <w:pPr>
      <w:spacing w:before="0" w:after="0" w:line="240" w:lineRule="auto"/>
    </w:pPr>
  </w:style>
  <w:style w:type="character" w:customStyle="1" w:styleId="SinespaciadoCar">
    <w:name w:val="Sin espaciado Car"/>
    <w:basedOn w:val="Fuentedeprrafopredeter"/>
    <w:link w:val="Sinespaciado"/>
    <w:uiPriority w:val="1"/>
    <w:rsid w:val="001F5FAC"/>
    <w:rPr>
      <w:sz w:val="20"/>
      <w:szCs w:val="20"/>
    </w:rPr>
  </w:style>
  <w:style w:type="paragraph" w:styleId="Cita">
    <w:name w:val="Quote"/>
    <w:basedOn w:val="Normal"/>
    <w:next w:val="Normal"/>
    <w:link w:val="CitaCar"/>
    <w:uiPriority w:val="29"/>
    <w:qFormat/>
    <w:rsid w:val="001F5FAC"/>
    <w:rPr>
      <w:i/>
      <w:iCs/>
    </w:rPr>
  </w:style>
  <w:style w:type="character" w:customStyle="1" w:styleId="CitaCar">
    <w:name w:val="Cita Car"/>
    <w:basedOn w:val="Fuentedeprrafopredeter"/>
    <w:link w:val="Cita"/>
    <w:uiPriority w:val="29"/>
    <w:rsid w:val="001F5FAC"/>
    <w:rPr>
      <w:i/>
      <w:iCs/>
      <w:sz w:val="20"/>
      <w:szCs w:val="20"/>
    </w:rPr>
  </w:style>
  <w:style w:type="paragraph" w:styleId="Citadestacada">
    <w:name w:val="Intense Quote"/>
    <w:basedOn w:val="Normal"/>
    <w:next w:val="Normal"/>
    <w:link w:val="Citadestacada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destacadaCar">
    <w:name w:val="Cita destacada Car"/>
    <w:basedOn w:val="Fuentedeprrafopredeter"/>
    <w:link w:val="Citadestacada"/>
    <w:uiPriority w:val="30"/>
    <w:rsid w:val="001F5FAC"/>
    <w:rPr>
      <w:i/>
      <w:iCs/>
      <w:color w:val="005191" w:themeColor="accent1"/>
      <w:sz w:val="20"/>
      <w:szCs w:val="20"/>
    </w:rPr>
  </w:style>
  <w:style w:type="character" w:styleId="nfasissutil">
    <w:name w:val="Subtle Emphasis"/>
    <w:uiPriority w:val="19"/>
    <w:qFormat/>
    <w:rsid w:val="001F5FAC"/>
    <w:rPr>
      <w:i/>
      <w:iCs/>
      <w:color w:val="002848" w:themeColor="accent1" w:themeShade="7F"/>
    </w:rPr>
  </w:style>
  <w:style w:type="character" w:styleId="nfasisintenso">
    <w:name w:val="Intense Emphasis"/>
    <w:uiPriority w:val="21"/>
    <w:qFormat/>
    <w:rsid w:val="001F5FAC"/>
    <w:rPr>
      <w:b/>
      <w:bCs/>
      <w:caps/>
      <w:color w:val="002848" w:themeColor="accent1" w:themeShade="7F"/>
      <w:spacing w:val="10"/>
    </w:rPr>
  </w:style>
  <w:style w:type="character" w:styleId="Referenciasutil">
    <w:name w:val="Subtle Reference"/>
    <w:uiPriority w:val="31"/>
    <w:qFormat/>
    <w:rsid w:val="001F5FAC"/>
    <w:rPr>
      <w:b/>
      <w:bCs/>
      <w:color w:val="005191" w:themeColor="accent1"/>
    </w:rPr>
  </w:style>
  <w:style w:type="character" w:styleId="Referenciaintensa">
    <w:name w:val="Intense Reference"/>
    <w:uiPriority w:val="32"/>
    <w:qFormat/>
    <w:rsid w:val="001F5FAC"/>
    <w:rPr>
      <w:b/>
      <w:bCs/>
      <w:i/>
      <w:iCs/>
      <w:caps/>
      <w:color w:val="005191" w:themeColor="accent1"/>
    </w:rPr>
  </w:style>
  <w:style w:type="character" w:styleId="Ttulodellibro">
    <w:name w:val="Book Title"/>
    <w:uiPriority w:val="33"/>
    <w:qFormat/>
    <w:rsid w:val="001F5FAC"/>
    <w:rPr>
      <w:color w:val="FFFFFF" w:themeColor="background1"/>
      <w:sz w:val="56"/>
    </w:rPr>
  </w:style>
  <w:style w:type="character" w:customStyle="1" w:styleId="pl-s">
    <w:name w:val="pl-s"/>
    <w:basedOn w:val="Fuentedeprrafopredeter"/>
    <w:rsid w:val="00BC3D96"/>
  </w:style>
  <w:style w:type="paragraph" w:styleId="TDC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19" Target="media/image4.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Microsoft_Excel_Worksheet1.xlsx" Type="http://schemas.openxmlformats.org/officeDocument/2006/relationships/package"/></Relationships>
</file>

<file path=word/charts/_rels/chart2.xml.rels><?xml version="1.0" encoding="UTF-8" standalone="no"?><Relationships xmlns="http://schemas.openxmlformats.org/package/2006/relationships"><Relationship Id="rId1" Target="../embeddings/Microsoft_Excel_Worksheet2.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Worksheet3.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Worksheet4.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A3CD-446B-A1DD-1829A805FD7E}"/>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A3CD-446B-A1DD-1829A805FD7E}"/>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A3CD-446B-A1DD-1829A805FD7E}"/>
              </c:ext>
            </c:extLst>
          </c:dPt>
          <c:dPt>
            <c:idx val="3"/>
            <c:bubble3D val="0"/>
            <c:spPr>
              <a:solidFill>
                <a:srgbClr val="579D1C"/>
              </a:solidFill>
              <a:ln>
                <a:noFill/>
              </a:ln>
            </c:spPr>
            <c:extLst xmlns:c16r2="http://schemas.microsoft.com/office/drawing/2015/06/chart">
              <c:ext xmlns:c16="http://schemas.microsoft.com/office/drawing/2014/chart" uri="{C3380CC4-5D6E-409C-BE32-E72D297353CC}">
                <c16:uniqueId val="{00000007-A3CD-446B-A1DD-1829A805FD7E}"/>
              </c:ext>
            </c:extLst>
          </c:dPt>
          <c:dPt>
            <c:idx val="4"/>
            <c:bubble3D val="0"/>
            <c:spPr>
              <a:solidFill>
                <a:srgbClr val="4BACC6"/>
              </a:solidFill>
              <a:ln>
                <a:noFill/>
              </a:ln>
            </c:spPr>
            <c:extLst xmlns:c16r2="http://schemas.microsoft.com/office/drawing/2015/06/char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0</c:v>
                </c:pt>
                <c:pt idx="1">
                  <c:v>93</c:v>
                </c:pt>
                <c:pt idx="2">
                  <c:v>34</c:v>
                </c:pt>
                <c:pt idx="3">
                  <c:v>13</c:v>
                </c:pt>
                <c:pt idx="4">
                  <c:v>0</c:v>
                </c:pt>
              </c:numCache>
            </c:numRef>
          </c:val>
          <c:extLst xmlns:c16r2="http://schemas.microsoft.com/office/drawing/2015/06/char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FE44-497D-83DB-2BDEE0A5D525}"/>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FE44-497D-83DB-2BDEE0A5D525}"/>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9</c:v>
                </c:pt>
                <c:pt idx="1">
                  <c:v>0</c:v>
                </c:pt>
                <c:pt idx="2">
                  <c:v>131</c:v>
                </c:pt>
              </c:numCache>
            </c:numRef>
          </c:val>
          <c:extLst xmlns:c16r2="http://schemas.microsoft.com/office/drawing/2015/06/char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45796.00855324074</c:v>
                </c:pt>
                <c:pt idx="1">
                  <c:v>45796.01405092593</c:v>
                </c:pt>
                <c:pt idx="2">
                  <c:v>45796.03853009259</c:v>
                </c:pt>
              </c:numCache>
            </c:numRef>
          </c:xVal>
          <c:yVal>
            <c:numRef>
              <c:f>Feuil1!$B$2:$B$3</c:f>
              <c:numCache>
                <c:formatCode>General</c:formatCode>
                <c:ptCount val="2"/>
                <c:pt idx="0">
                  <c:v>140</c:v>
                </c:pt>
                <c:pt idx="1">
                  <c:v>140</c:v>
                </c:pt>
                <c:pt idx="2">
                  <c:v>140</c:v>
                </c:pt>
              </c:numCache>
            </c:numRef>
          </c:yVal>
          <c:smooth val="0"/>
          <c:extLst xmlns:c16r2="http://schemas.microsoft.com/office/drawing/2015/06/char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45796.00855324074</c:v>
                </c:pt>
                <c:pt idx="1">
                  <c:v>45796.01405092593</c:v>
                </c:pt>
                <c:pt idx="2">
                  <c:v>45796.03853009259</c:v>
                </c:pt>
              </c:numCache>
            </c:numRef>
          </c:xVal>
          <c:yVal>
            <c:numRef>
              <c:f>Feuil1!$B$2:$B$3</c:f>
              <c:numCache>
                <c:formatCode>General</c:formatCode>
                <c:ptCount val="2"/>
                <c:pt idx="0">
                  <c:v>0.3</c:v>
                </c:pt>
                <c:pt idx="1">
                  <c:v>0.3</c:v>
                </c:pt>
                <c:pt idx="2">
                  <c:v>0.3</c:v>
                </c:pt>
              </c:numCache>
            </c:numRef>
          </c:yVal>
          <c:smooth val="0"/>
          <c:extLst xmlns:c16r2="http://schemas.microsoft.com/office/drawing/2015/06/char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63572-540B-456C-8C19-7D05C55F9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Pages>10</Pages>
  <Words>486</Words>
  <Characters>2679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2016-12-06T15:38:00Z</dcterms:created>
  <dc:creator>Benoit.Garcon@cnes.fr</dc:creator>
  <dc:language>fr-FR</dc:language>
  <cp:lastModifiedBy>Jesus Ponte Garcia</cp:lastModifiedBy>
  <cp:lastPrinted>2013-06-07T14:19:00Z</cp:lastPrinted>
  <dcterms:modified xsi:type="dcterms:W3CDTF">2022-03-02T22:38:00Z</dcterms:modified>
  <cp:revision>102</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