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B074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</w:pPr>
    </w:p>
    <w:p w14:paraId="2E463872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</w:pPr>
    </w:p>
    <w:p w14:paraId="3AAF7048" w14:textId="1E9D02F9" w:rsidR="004024FE" w:rsidRPr="00A630D7" w:rsidRDefault="00A630D7" w:rsidP="00A630D7">
      <w:pPr>
        <w:spacing w:line="360" w:lineRule="auto"/>
        <w:jc w:val="both"/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</w:pPr>
      <w:proofErr w:type="spellStart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 xml:space="preserve"> Risk: </w:t>
      </w:r>
    </w:p>
    <w:p w14:paraId="0887C9A0" w14:textId="5C4EB752" w:rsidR="00A630D7" w:rsidRPr="00A630D7" w:rsidRDefault="00A630D7" w:rsidP="00A630D7">
      <w:pPr>
        <w:spacing w:line="360" w:lineRule="auto"/>
        <w:jc w:val="both"/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</w:pPr>
    </w:p>
    <w:p w14:paraId="52DBA778" w14:textId="7F00A1B1" w:rsidR="00A630D7" w:rsidRPr="00A630D7" w:rsidRDefault="00A630D7" w:rsidP="00A630D7">
      <w:pPr>
        <w:spacing w:line="360" w:lineRule="auto"/>
        <w:jc w:val="both"/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</w:pPr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>EBA (</w:t>
      </w:r>
      <w:proofErr w:type="spellStart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>European</w:t>
      </w:r>
      <w:proofErr w:type="spellEnd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 xml:space="preserve"> Bank </w:t>
      </w:r>
      <w:proofErr w:type="spellStart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>Authoruty</w:t>
      </w:r>
      <w:proofErr w:type="spellEnd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 xml:space="preserve">) </w:t>
      </w:r>
      <w:proofErr w:type="spellStart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>definition</w:t>
      </w:r>
      <w:proofErr w:type="spellEnd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 xml:space="preserve"> of </w:t>
      </w:r>
      <w:proofErr w:type="spellStart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 xml:space="preserve"> risk: </w:t>
      </w:r>
    </w:p>
    <w:p w14:paraId="4F325483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</w:pPr>
    </w:p>
    <w:p w14:paraId="7773483A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defined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risk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losses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stemming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from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inadequate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failed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internal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processes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people and systems or from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external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events.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includes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legal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but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excludes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reputational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embedded in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all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banking products and activities.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always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existed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 banking, and non banking,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organizations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but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acquired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greater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relevance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given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increased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complexity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globalization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financial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system and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recent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materialization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unprecedented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extremely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large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losses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Through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publication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its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guidelines and RTS on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risk, the EBA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aims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promoting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enhancing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effectiveness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 management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supervision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throughout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banking system.</w:t>
      </w:r>
    </w:p>
    <w:p w14:paraId="1CA6E39D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4976D254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summarizes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uncertainties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hazards a company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faces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when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attempts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do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its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day-to-day business activities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within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given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field or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industry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A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type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business risk,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can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result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from breakdowns in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internal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procedures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, people and systems—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opposed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problems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incurred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from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external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forces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such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political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economic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events, or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inherent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entire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market or market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segment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known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systematic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risk.</w:t>
      </w:r>
    </w:p>
    <w:p w14:paraId="6E6FC79D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 can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also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be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classified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variety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unsystematic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which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unique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a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specific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company or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industry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</w:t>
      </w:r>
    </w:p>
    <w:p w14:paraId="5149CFD7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Understanding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 </w:t>
      </w:r>
    </w:p>
    <w:p w14:paraId="17B7440C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focuses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how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things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are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accomplished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within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organization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not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necessarily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what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produced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inherent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within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industry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These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risks are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often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associated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with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active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decisions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relating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how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organization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functions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what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prioritizes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While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risks are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not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guaranteed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result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failure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lower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production, or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higher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overall costs,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they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are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seen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higher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lower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depending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various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internal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management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decisions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.</w:t>
      </w:r>
    </w:p>
    <w:p w14:paraId="6CBA4B23" w14:textId="256E99B8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Because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reflects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man-made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procedures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thinking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processes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 can be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summarized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 human risk;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risk of business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failing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due to human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error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changes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from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industry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industry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important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consideration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lastRenderedPageBreak/>
        <w:t xml:space="preserve">to make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when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looking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potential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investment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decisions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Industries with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lower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human interaction are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likely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have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lower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risk. </w:t>
      </w:r>
      <w:proofErr w:type="spellStart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>Investopedia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</w:p>
    <w:p w14:paraId="1F0BEB35" w14:textId="274B0F0C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058CFB15" w14:textId="0C88FF31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7EB2B4DE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2D04B678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28D8E93F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2478CC96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</w:pPr>
      <w:proofErr w:type="spellStart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 xml:space="preserve"> risk in banking. </w:t>
      </w:r>
    </w:p>
    <w:p w14:paraId="494D60E5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388B1931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relatively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young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field: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became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independent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discipline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only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past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20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years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While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banks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have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been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aware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risks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associated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with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employee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activities for a long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while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the Basel Committee on Banking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Supervision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(BCBS), in a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series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papers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published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between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1999 and 2001,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elevated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 to a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distinct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controllable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category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requiring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its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own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tools and organization.1 In the first decade of building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-risk-management capabilities, banks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focused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on governance,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putting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 place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foundational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elements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such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loss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-event reporting and risk-control self-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assessments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(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RCSAs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)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developing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-risk capital models.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financial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crisis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precipitated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wave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regulatory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fines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enforcement actions on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misselling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questionable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mortgage-foreclosure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practices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financial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crimes, London Inter-bank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Offered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Rate (LIBOR) fixing,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foreign-exchange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misconduct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these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events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worked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their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way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through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banking system,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they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highlighted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weaknesses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earlier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practices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Institutions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responded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by making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significant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investments in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-risk capabilities.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They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developed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taxonomies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beyond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BCBS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categories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, put in place new risk-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identification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risk-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assessment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processes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created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extensive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controls and control-testing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processes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While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industry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succeeded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reducing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industry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-wide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regulatory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fines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losses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from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have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remained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elevated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(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Exhibit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1).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Mckinsey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</w:t>
      </w:r>
    </w:p>
    <w:p w14:paraId="4B524B23" w14:textId="58E1063F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4BB984DD" w14:textId="272AF44B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35EAAB34" w14:textId="06B6A816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285AFE54" w14:textId="45DBA80B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16CA8B6F" w14:textId="7353E834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75000CA5" w14:textId="1DF21C9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6C3F9010" w14:textId="5D86B364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139CEDA8" w14:textId="0655EFD8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29DEF295" w14:textId="690D120C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357A40FC" w14:textId="2E1BC93B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7B03B36C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7871E913" w14:textId="28D1A016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</w:pPr>
      <w:proofErr w:type="spellStart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>Intrinsic</w:t>
      </w:r>
      <w:proofErr w:type="spellEnd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>difficulties</w:t>
      </w:r>
      <w:proofErr w:type="spellEnd"/>
    </w:p>
    <w:p w14:paraId="0CF73427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</w:pPr>
    </w:p>
    <w:p w14:paraId="450788F8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While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banks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have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made good progress,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managing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remains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intrinsically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difficult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for a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number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reasons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Compared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with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financial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such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credit or market risk,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more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complex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involving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dozens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diverse 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types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Second,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-risk management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requires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oversight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transparency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almost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all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organizational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processes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business activities. Third,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distinguishing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definitions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roles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-risk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function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other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oversight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groups—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especially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compliance,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financial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crime,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cyberrisk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, and IT risk—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have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been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fluid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Finally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until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recently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less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easily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measured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managed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through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data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recognized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limits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than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financial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risk.</w:t>
      </w:r>
    </w:p>
    <w:p w14:paraId="19291C3F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This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last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constraint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been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lifted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recent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years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: granular data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measurement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processes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employee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activity, customer feedback,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other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sources of insight are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now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widely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available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Measurement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remains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difficult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and risk teams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still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face challenges in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bringing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together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diverse sources of data.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Nonetheless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data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availability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potential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applications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analytics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have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created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opportunity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transform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-risk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detection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moving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from qualitative,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manual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controls to data-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driven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, real-time monitoring.</w:t>
      </w:r>
    </w:p>
    <w:p w14:paraId="592D6D6F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3ECC1F47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for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other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challenges,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they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have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if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anything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steepened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complexity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increased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number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diversity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-risk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types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have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enlarged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important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specialized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-risk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categories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become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more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defined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including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unauthorized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trading,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third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-party risk,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fraud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questionable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sales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practices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misconduct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new-product risk,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cyberrisk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resilience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.</w:t>
      </w:r>
    </w:p>
    <w:p w14:paraId="37D8CC79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At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same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time,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digitization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automation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have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been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changing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nature of work,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reducing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traditional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human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errors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but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creating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new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change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-management risks; fintech partnerships create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cyberrisks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produce new single points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failure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;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application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machine learning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artificial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intelligence (AI)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raises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issues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decision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bias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ethical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use of customer data.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Finally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the lines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between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-risk-management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function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other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second-line groups,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such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compliance, continue to shift. Banks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have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invested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harmonizing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taxonomies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assessments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but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most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lastRenderedPageBreak/>
        <w:t>recognize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that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significant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overlap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remains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This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creates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frustration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among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business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units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frontline partners.</w:t>
      </w:r>
    </w:p>
    <w:p w14:paraId="34269083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23AEC208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584C4473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278EC0CC" w14:textId="2D6A0B9D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</w:pPr>
      <w:proofErr w:type="spellStart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>Looking</w:t>
      </w:r>
      <w:proofErr w:type="spellEnd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>ahead</w:t>
      </w:r>
      <w:proofErr w:type="spellEnd"/>
    </w:p>
    <w:p w14:paraId="2C8A03EB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</w:pPr>
    </w:p>
    <w:p w14:paraId="2A870ECE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Against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these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challenges, 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practitioners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are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seeking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develop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better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tools, frameworks, and talent.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Leading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companies are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discarding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“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rearview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mirror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”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approach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defined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by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thousands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qualitative controls. For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effective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-risk management,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suitable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the new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environment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these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organizations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are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refocusing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front line on business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resiliency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critical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vulnerabilities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They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are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adopting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data-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driven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measurement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shifting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detection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tools from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subjective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control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assessments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real-time monitoring.</w:t>
      </w:r>
    </w:p>
    <w:p w14:paraId="1A4FAD42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objective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for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-risk management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become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valuable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partner to the business. Banks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need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take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specific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actions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move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function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from reporting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aggregation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first-line controls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providing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expertise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thought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partnership.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areas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where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function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will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help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execute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business strategy include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strengths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vulnerabilities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new-product design,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infrastructure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enhancements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well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other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areas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that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allow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enterprise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operate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effectively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prevent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undue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large-scale 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issues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.</w:t>
      </w:r>
    </w:p>
    <w:p w14:paraId="7DB68E32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-risk discipline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needs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evolve in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four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areas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: 1) the mandate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needs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expand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include second-line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oversight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to support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excellence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business-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process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resiliency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; 2)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analytics-driven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issue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detection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real-time risk reporting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have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replace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manual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assessments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; 3) talent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needs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be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realigned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digitization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progresses and data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analytics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are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rolled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out: banks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will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need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specialists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manage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specific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types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such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cyberrisk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fraud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conduct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risk; and 4) human-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factor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will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have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be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monitored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assessed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—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including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those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that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relate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misconduct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(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such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sexual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harassment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) and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diversity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inclusion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.</w:t>
      </w:r>
    </w:p>
    <w:p w14:paraId="4C08CFC4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0F8F4E3D" w14:textId="00EAD562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evolution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includes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shift to real-time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detection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action.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This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will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involve the adoption of more agile ways of working, with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greater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use of cross-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disciplinary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teams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that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can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respond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quickly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arising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issues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near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misses,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emerging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risks or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threats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resilience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.</w:t>
      </w:r>
    </w:p>
    <w:p w14:paraId="07B930C9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669F5E63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66915274" w14:textId="6DA178AC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New frameworks and tools are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therefore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needed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properly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evaluate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resiliency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</w:t>
      </w:r>
    </w:p>
    <w:p w14:paraId="70151842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business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processes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challenge business management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appropriate,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prioritize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</w:p>
    <w:p w14:paraId="7450A04C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interventions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These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frameworks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should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support the following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types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actions:</w:t>
      </w:r>
    </w:p>
    <w:p w14:paraId="54227B6B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Map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processes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risks, and controls.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Map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processes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along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with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associated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risks and controls,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including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overall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complexity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number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handoffs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involved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automation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versus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reliance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manual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activities (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particularly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when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danger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high for negative customer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outcomes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regulatory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mistakes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).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This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work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will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ideally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be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done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conjunction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with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systemic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controls embedded in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process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; end-to-end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process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ownership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minimizes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handoffs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maximizes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collaboration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.</w:t>
      </w:r>
    </w:p>
    <w:p w14:paraId="49E5A2CB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Identify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supporting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technology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Identify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understand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points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where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processes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rely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technology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.</w:t>
      </w:r>
    </w:p>
    <w:p w14:paraId="09A3274E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Monitor risks and controls. Create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mechanisms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metrics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(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such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higher-than-normal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volumes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)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enable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monitoring of 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levels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control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effectiveness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in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time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wherever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possible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.</w:t>
      </w:r>
    </w:p>
    <w:p w14:paraId="5327A1D8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Link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resource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planning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processes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Link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resource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planning to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emergent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understanding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processes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associated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needs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Be ready to scale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capacity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up or down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according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results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process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monitoring.</w:t>
      </w:r>
    </w:p>
    <w:p w14:paraId="3278B263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Reinforce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needed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behavior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Ensure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reinforcement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mechanisms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for personal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conduct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using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communications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, training, performance management, and incentives.</w:t>
      </w:r>
    </w:p>
    <w:p w14:paraId="5B604E6A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Enable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feedback.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Establish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feedback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mechanisms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for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flagging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potential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issues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undertaking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root-cause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analysis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updating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revising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processes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needed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address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causes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.</w:t>
      </w:r>
    </w:p>
    <w:p w14:paraId="18AD192B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Establish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change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management.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Establish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systematic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ongoing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change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management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ensure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right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talent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 place, test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processes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capacity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provide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guidance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particularly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for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technology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.</w:t>
      </w:r>
    </w:p>
    <w:p w14:paraId="43AB463C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6E170D5E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1E525F30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6A1BF39C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1B96BE37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458559A1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64AA3F89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2ADAECAA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02F42D16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2298EAC0" w14:textId="77777777" w:rsidR="00A630D7" w:rsidRDefault="00A630D7" w:rsidP="00A630D7">
      <w:pPr>
        <w:spacing w:line="360" w:lineRule="auto"/>
        <w:jc w:val="both"/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</w:pPr>
    </w:p>
    <w:p w14:paraId="4716446C" w14:textId="77777777" w:rsidR="00A630D7" w:rsidRDefault="00A630D7" w:rsidP="00A630D7">
      <w:pPr>
        <w:spacing w:line="360" w:lineRule="auto"/>
        <w:jc w:val="both"/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</w:pPr>
    </w:p>
    <w:p w14:paraId="1CB24DCE" w14:textId="5F7282F1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</w:pPr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 xml:space="preserve">Using data and real-time </w:t>
      </w:r>
      <w:proofErr w:type="spellStart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>analytics</w:t>
      </w:r>
      <w:proofErr w:type="spellEnd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 xml:space="preserve"> to face </w:t>
      </w:r>
      <w:proofErr w:type="spellStart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 xml:space="preserve"> risk </w:t>
      </w:r>
    </w:p>
    <w:p w14:paraId="7F5FA1C9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Advanced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analytics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applications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all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or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nearly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all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areas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creating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significant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improvements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detecting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risks,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revealing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risks more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quickly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reducing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false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positives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Whether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 information security, data, compliance,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technology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systems,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process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failure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or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even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personal security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other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human-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factor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risks,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advanced-analytics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advantage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becoming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increasingly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evident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Some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applications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are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described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below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:</w:t>
      </w:r>
    </w:p>
    <w:p w14:paraId="12CEA6F1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Anti–money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laundering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Replacing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rules-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driven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alerts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with machine-learning models can reduce false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positives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focus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resources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cases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that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actually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require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investigation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.</w:t>
      </w:r>
    </w:p>
    <w:p w14:paraId="1CE7160A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Conduct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Analytics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engines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can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identify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suspicious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sales patterns,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connecting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dots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across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sales, product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usage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incentives, and customer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complaints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(for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example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increases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nonactivated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deposits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accounts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sold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by a retail banker, or trades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triggered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by a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wealth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-management adviser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they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approach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compensation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breakpoints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). Trade-monitoring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analytics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can mine trading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communication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patterns for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potential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markers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conduct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risk.</w:t>
      </w:r>
    </w:p>
    <w:p w14:paraId="684530BB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Cyberrisk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Machine learning can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analyze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sources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signals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identify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emerging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threats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replace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existing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rules-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based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triggers, and reduce false-positive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alerts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.</w:t>
      </w:r>
    </w:p>
    <w:p w14:paraId="416B717E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Fraud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Machine learning,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including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unsupervised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techniques, can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identify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fraudulent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transactions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reduce false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positives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;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synthetic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-ID-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fraud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analytics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use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external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third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-party data, in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accordance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with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all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local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regulation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analyze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depth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consistency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identity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profiles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new customers.</w:t>
      </w:r>
    </w:p>
    <w:p w14:paraId="51EDB667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Process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quality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regulatory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risks.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Automated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call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surveillance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using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natural-language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processing can monitor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adherence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disclosure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requirements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Systemic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quality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-control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touchpoints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can check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accuracy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decisions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disclosures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filings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against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customer-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provided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information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regulatory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rules (for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example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accuracy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a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bankruptcy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filing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against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system of record information).</w:t>
      </w:r>
    </w:p>
    <w:p w14:paraId="277B8023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Third-party risk. Models can be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developed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that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quantify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reliance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on key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third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parties (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including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hidden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fourth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-party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exposures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) to drive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better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business-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continuity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planning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bring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 risk-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based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perspective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vendor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assessment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selection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.</w:t>
      </w:r>
    </w:p>
    <w:p w14:paraId="47EF75B6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77F299B3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4ECA8E26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0CB9993A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4A9B13F4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4FD17E08" w14:textId="4738016A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Banks can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now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tap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into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large repositories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structured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unstructured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data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identify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issues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across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-risk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categories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moving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beyond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reliance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on self-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assessments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subjective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controls.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These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emerging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detection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tools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might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best be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described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two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broad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categories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:</w:t>
      </w:r>
    </w:p>
    <w:p w14:paraId="7E9FD334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54767816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Real-time 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indicators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include real-time testing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processes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controls and 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metrics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that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identify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areas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under stress, spikes in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transaction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volumes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other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determinants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levels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.</w:t>
      </w:r>
    </w:p>
    <w:p w14:paraId="54B7230C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Targeted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analytics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tools can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connect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data dots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detect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potential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issues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(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see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sidebar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“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Targeted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analytics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tools”). By mining sales and customer data, banks can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detect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potentially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unauthorized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sales. Machine-learning models can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detect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cyberrisk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levels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fraud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potential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money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laundering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long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all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privacy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measures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are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respected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institutions can use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natural-language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processing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analyze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calls, emails, surveys, and social-media posts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identify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spikes in 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topics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raised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by customers </w:t>
      </w:r>
    </w:p>
    <w:p w14:paraId="5FE9CA1E" w14:textId="75BD258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in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time.</w:t>
      </w:r>
    </w:p>
    <w:p w14:paraId="7455B5D5" w14:textId="172DAE15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4E7C1F4A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26FBD0D8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</w:pPr>
      <w:proofErr w:type="spellStart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>Develop</w:t>
      </w:r>
      <w:proofErr w:type="spellEnd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 xml:space="preserve"> talent and the tools to </w:t>
      </w:r>
      <w:proofErr w:type="spellStart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>manage</w:t>
      </w:r>
      <w:proofErr w:type="spellEnd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>specialized</w:t>
      </w:r>
      <w:proofErr w:type="spellEnd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 xml:space="preserve"> risk </w:t>
      </w:r>
      <w:proofErr w:type="spellStart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>types</w:t>
      </w:r>
      <w:proofErr w:type="spellEnd"/>
    </w:p>
    <w:p w14:paraId="2587B02F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A range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emerging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risks,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all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which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fall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under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-risk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umbrella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present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new challenges for banks.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manage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these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risks—in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areas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such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technology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data,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financial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crime—banks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need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specialized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knowledge and tools. For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example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managing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fraud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requires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 deep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understanding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fraud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typologies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new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emerging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vulnerabilities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and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effectiveness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first-line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processes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controls.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Similarly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oversight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conduct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requires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up-to-date knowledge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about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how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systems can be “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gamed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” in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each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business line. In capital markets, for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instance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some products are more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susceptible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than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others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nontransparent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communication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misselling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misconduct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 products,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manipulation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by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unscrupulous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employees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-risk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officers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will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need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rethink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their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organization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recruit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talent to support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process-centric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 management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advanced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analytics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These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changes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 talent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composition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are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significant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different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from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what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most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banks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currently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have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 place (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see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sidebar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“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Examples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specialized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expertise”).</w:t>
      </w:r>
    </w:p>
    <w:p w14:paraId="617EBA03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Manage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human-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factor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risks</w:t>
      </w:r>
    </w:p>
    <w:p w14:paraId="55B2F51B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0DEB60A1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428A3CCA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72F7C6D0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4D71FBDA" w14:textId="2693163F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Bank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employees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drive corporate performance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but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are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also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potential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source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risk. In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recent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years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conduct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issues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 sales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instances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LIBOR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foreign-exchange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manipulation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have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elevated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human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factor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nonfinancial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-risk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universe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In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past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HR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mainly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responsible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for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addressing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conduct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part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its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oversight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role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hiring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investigating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conduct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issues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potential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for human-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factor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risks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inflict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serious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damage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become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more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apparent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however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banks are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recognizing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that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this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oversight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must be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included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-risk-management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function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.</w:t>
      </w:r>
    </w:p>
    <w:p w14:paraId="28D7BB61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773C4244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Developing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effective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risk-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oversight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frameworks for human-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factor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not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 easy task,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these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risks are diverse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differ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from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many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other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-risk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types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Some involve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behavioral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transgressions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among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employees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;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others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involve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abuse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insider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organizational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knowledge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finding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ways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around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static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controls.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These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have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more to do with culture, personal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motives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and incentives,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that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than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with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processes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infrastructure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they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are hard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quantify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prioritize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organizations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with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many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thousands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employees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in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dozens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even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hundreds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functions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.</w:t>
      </w:r>
    </w:p>
    <w:p w14:paraId="09341220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39AC7BB9" w14:textId="4880A703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prioritize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areas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oversight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intervention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leading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-risk executives are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taking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following steps.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They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first determine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which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groups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within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organization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present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disproportionate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human-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factor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risks,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including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misconduct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mistakes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with heavy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regulatory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or business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consequences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and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internal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fraud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Analyzing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functions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within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each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business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unit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operational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-risk leaders can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then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identify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those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that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present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greatest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inherent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exposure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.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next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step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to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prioritize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“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failure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modes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”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behind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the risks,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including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malicious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intent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(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traditional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conduct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risk),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inadequate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respect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for rules,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lack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competence or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capacity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, and the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attrition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of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critical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 xml:space="preserve"> </w:t>
      </w:r>
      <w:proofErr w:type="spellStart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employees</w:t>
      </w:r>
      <w:proofErr w:type="spellEnd"/>
      <w:r w:rsidRPr="00A630D7">
        <w:rPr>
          <w:rFonts w:ascii="Palatino" w:eastAsia="Times New Roman" w:hAnsi="Palatino" w:cs="Times New Roman"/>
          <w:kern w:val="0"/>
          <w:lang w:val="it-IT" w:eastAsia="en-GB"/>
          <w14:ligatures w14:val="none"/>
        </w:rPr>
        <w:t>.</w:t>
      </w:r>
    </w:p>
    <w:p w14:paraId="0A93F0BD" w14:textId="6887438C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2837373D" w14:textId="694EEFC8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1451B695" w14:textId="1DD62D53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3C958FA9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02B1198A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5E182D0E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</w:pPr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lastRenderedPageBreak/>
        <w:t xml:space="preserve">continuar </w:t>
      </w:r>
      <w:proofErr w:type="spellStart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>leyendo</w:t>
      </w:r>
      <w:proofErr w:type="spellEnd"/>
      <w:r w:rsidRPr="00A630D7"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  <w:t xml:space="preserve"> esta pagina mas tarde… https://www.mckinsey.com/capabilities/risk-and-resilience/our-insights/the-future-of-operational-risk-management-in-financial-services</w:t>
      </w:r>
    </w:p>
    <w:p w14:paraId="29133B14" w14:textId="60856DCA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b/>
          <w:bCs/>
          <w:kern w:val="0"/>
          <w:lang w:val="it-IT" w:eastAsia="en-GB"/>
          <w14:ligatures w14:val="none"/>
        </w:rPr>
      </w:pPr>
    </w:p>
    <w:p w14:paraId="61CE440F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4115CC77" w14:textId="77777777" w:rsidR="004024FE" w:rsidRPr="00A630D7" w:rsidRDefault="004024FE" w:rsidP="00A630D7">
      <w:pPr>
        <w:spacing w:line="360" w:lineRule="auto"/>
        <w:jc w:val="both"/>
        <w:rPr>
          <w:rFonts w:ascii="Palatino" w:eastAsia="Times New Roman" w:hAnsi="Palatino" w:cs="Times New Roman"/>
          <w:kern w:val="0"/>
          <w:lang w:val="it-IT" w:eastAsia="en-GB"/>
          <w14:ligatures w14:val="none"/>
        </w:rPr>
      </w:pPr>
    </w:p>
    <w:p w14:paraId="4D30B21E" w14:textId="77777777" w:rsidR="001C5832" w:rsidRPr="00A630D7" w:rsidRDefault="001C5832" w:rsidP="00A630D7">
      <w:pPr>
        <w:spacing w:line="360" w:lineRule="auto"/>
        <w:jc w:val="both"/>
        <w:rPr>
          <w:rFonts w:ascii="Palatino" w:hAnsi="Palatino"/>
        </w:rPr>
      </w:pPr>
    </w:p>
    <w:sectPr w:rsidR="001C5832" w:rsidRPr="00A63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9DCE612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DF3B71"/>
    <w:multiLevelType w:val="multilevel"/>
    <w:tmpl w:val="553E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32DF7"/>
    <w:multiLevelType w:val="multilevel"/>
    <w:tmpl w:val="528C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47D5C"/>
    <w:multiLevelType w:val="multilevel"/>
    <w:tmpl w:val="04E0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066215">
    <w:abstractNumId w:val="0"/>
  </w:num>
  <w:num w:numId="2" w16cid:durableId="1507357116">
    <w:abstractNumId w:val="1"/>
  </w:num>
  <w:num w:numId="3" w16cid:durableId="1369641566">
    <w:abstractNumId w:val="2"/>
  </w:num>
  <w:num w:numId="4" w16cid:durableId="2075853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32"/>
    <w:rsid w:val="00071190"/>
    <w:rsid w:val="00126D22"/>
    <w:rsid w:val="001B51DC"/>
    <w:rsid w:val="001C5832"/>
    <w:rsid w:val="00303535"/>
    <w:rsid w:val="00376AD9"/>
    <w:rsid w:val="004024FE"/>
    <w:rsid w:val="007045CE"/>
    <w:rsid w:val="0098456A"/>
    <w:rsid w:val="00A630D7"/>
    <w:rsid w:val="00C74CB9"/>
    <w:rsid w:val="00F8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64994"/>
  <w15:chartTrackingRefBased/>
  <w15:docId w15:val="{559E9680-66D7-734F-9F44-066CE90F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583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1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ear-header">
    <w:name w:val="clear-header"/>
    <w:basedOn w:val="Normal"/>
    <w:rsid w:val="001C583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comp">
    <w:name w:val="comp"/>
    <w:basedOn w:val="Normal"/>
    <w:rsid w:val="001C583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1C5832"/>
  </w:style>
  <w:style w:type="character" w:styleId="Hyperlink">
    <w:name w:val="Hyperlink"/>
    <w:basedOn w:val="DefaultParagraphFont"/>
    <w:uiPriority w:val="99"/>
    <w:unhideWhenUsed/>
    <w:rsid w:val="001C583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5832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mntl-sc-block-headingtext">
    <w:name w:val="mntl-sc-block-heading__text"/>
    <w:basedOn w:val="DefaultParagraphFont"/>
    <w:rsid w:val="001C5832"/>
  </w:style>
  <w:style w:type="character" w:styleId="UnresolvedMention">
    <w:name w:val="Unresolved Mention"/>
    <w:basedOn w:val="DefaultParagraphFont"/>
    <w:uiPriority w:val="99"/>
    <w:semiHidden/>
    <w:unhideWhenUsed/>
    <w:rsid w:val="009845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51D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1D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1B51D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376AD9"/>
    <w:rPr>
      <w:i/>
      <w:iCs/>
    </w:rPr>
  </w:style>
  <w:style w:type="paragraph" w:styleId="ListParagraph">
    <w:name w:val="List Paragraph"/>
    <w:basedOn w:val="Normal"/>
    <w:uiPriority w:val="34"/>
    <w:qFormat/>
    <w:rsid w:val="00376AD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6A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44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31D04A-BE2C-1644-A018-3DE7D1713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2304</Words>
  <Characters>14194</Characters>
  <Application>Microsoft Office Word</Application>
  <DocSecurity>0</DocSecurity>
  <Lines>330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nagib stefano souki</dc:creator>
  <cp:keywords/>
  <dc:description/>
  <cp:lastModifiedBy>nagib stefano souki</cp:lastModifiedBy>
  <cp:revision>5</cp:revision>
  <dcterms:created xsi:type="dcterms:W3CDTF">2022-12-06T08:55:00Z</dcterms:created>
  <dcterms:modified xsi:type="dcterms:W3CDTF">2022-12-26T18:00:00Z</dcterms:modified>
</cp:coreProperties>
</file>