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920"/>
        <w:jc w:val="center"/>
      </w:pPr>
      <w:r>
        <w:t>学海智导项目待完善任务梳理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666666"/>
          <w:sz w:val="26"/>
        </w:rPr>
        <w:t>基于当前仓库代码 文档与本地质量检查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3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审查基线</w:t>
            </w:r>
          </w:p>
        </w:tc>
        <w:tc>
          <w:tcPr>
            <w:tcW w:type="dxa" w:w="703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main 分支提交 5f83ca7</w:t>
            </w:r>
          </w:p>
        </w:tc>
      </w:tr>
      <w:tr>
        <w:tc>
          <w:tcPr>
            <w:tcW w:type="dxa" w:w="181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审查日期</w:t>
            </w:r>
          </w:p>
        </w:tc>
        <w:tc>
          <w:tcPr>
            <w:tcW w:type="dxa" w:w="703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2026-09-24</w:t>
            </w:r>
          </w:p>
        </w:tc>
      </w:tr>
      <w:t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覆盖范围</w:t>
            </w:r>
          </w:p>
        </w:tc>
        <w:tc>
          <w:tcPr>
            <w:tcW w:type="dxa" w:w="703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后端核心与网关 前端工程 测试 数据持久化 文档与交付配置</w:t>
            </w:r>
          </w:p>
        </w:tc>
      </w:tr>
      <w:tr>
        <w:tc>
          <w:tcPr>
            <w:tcW w:type="dxa" w:w="181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文档用途</w:t>
            </w:r>
          </w:p>
        </w:tc>
        <w:tc>
          <w:tcPr>
            <w:tcW w:type="dxa" w:w="703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作为下一阶段排期 任务拆分与验收依据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结论与建议顺序</w:t>
      </w:r>
    </w:p>
    <w:p>
      <w:pPr>
        <w:keepLines w:val="0"/>
      </w:pPr>
      <w:r>
        <w:rPr>
          <w:rFonts w:ascii="Microsoft YaHei" w:hAnsi="Microsoft YaHei" w:eastAsia="Microsoft YaHei"/>
          <w:color w:val="000000"/>
          <w:sz w:val="21"/>
        </w:rPr>
        <w:t>当前项目已具备可演示的完整学习闭环，前端测试、类型检查和生产构建能够通过。下一阶段不宜直接把全部精力投入视觉美化。应先恢复可重复的后端质量基线、隔离测试数据，再推进 Phase 6 的 UI 和性能优化。</w:t>
      </w:r>
    </w:p>
    <w:p>
      <w:pPr>
        <w:keepLines w:val="0"/>
      </w:pPr>
      <w:r>
        <w:rPr>
          <w:rFonts w:ascii="Microsoft YaHei" w:hAnsi="Microsoft YaHei" w:eastAsia="Microsoft YaHei"/>
          <w:b/>
          <w:color w:val="000000"/>
          <w:sz w:val="21"/>
        </w:rPr>
        <w:t>建议顺序：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第一批处理依赖锁定、异步测试插件、FastAPI 兼容性和测试数据隔离。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第二批建立持续集成，修复 React Hooks 与 Lint 警告，降低前端首屏包体积。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第三批完成 Phase 6 视觉与无障碍打磨，并同步更新 README 与部署说明。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只有计划面向真实用户或公网部署时，再启动身份认证、持久化升级和生产安全加固。</w:t>
      </w:r>
    </w:p>
    <w:p>
      <w:pPr>
        <w:pStyle w:val="Heading1"/>
      </w:pPr>
      <w:r>
        <w:t>本次实测结果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9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89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85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0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后端核心测试</w:t>
            </w:r>
          </w:p>
        </w:tc>
        <w:tc>
          <w:tcPr>
            <w:tcW w:type="dxa" w:w="28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142 通过 1 失败 共 143 项</w:t>
            </w:r>
          </w:p>
        </w:tc>
        <w:tc>
          <w:tcPr>
            <w:tcW w:type="dxa" w:w="385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未达到 README 的全绿声明</w:t>
            </w:r>
          </w:p>
        </w:tc>
      </w:tr>
      <w:tr>
        <w:tc>
          <w:tcPr>
            <w:tcW w:type="dxa" w:w="209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网关测试</w:t>
            </w:r>
          </w:p>
        </w:tc>
        <w:tc>
          <w:tcPr>
            <w:tcW w:type="dxa" w:w="289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385 通过 30 失败 共 415 项</w:t>
            </w:r>
          </w:p>
        </w:tc>
        <w:tc>
          <w:tcPr>
            <w:tcW w:type="dxa" w:w="3855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异步用例缺少 pytest asyncio 支持</w:t>
            </w:r>
          </w:p>
        </w:tc>
      </w:tr>
      <w:tr>
        <w:tc>
          <w:tcPr>
            <w:tcW w:type="dxa" w:w="20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前端契约测试</w:t>
            </w:r>
          </w:p>
        </w:tc>
        <w:tc>
          <w:tcPr>
            <w:tcW w:type="dxa" w:w="28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242 通过 0 失败</w:t>
            </w:r>
          </w:p>
        </w:tc>
        <w:tc>
          <w:tcPr>
            <w:tcW w:type="dxa" w:w="385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9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前端类型检查</w:t>
            </w:r>
          </w:p>
        </w:tc>
        <w:tc>
          <w:tcPr>
            <w:tcW w:type="dxa" w:w="289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tsc 构建无错误</w:t>
            </w:r>
          </w:p>
        </w:tc>
        <w:tc>
          <w:tcPr>
            <w:tcW w:type="dxa" w:w="3855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前端生产构建</w:t>
            </w:r>
          </w:p>
        </w:tc>
        <w:tc>
          <w:tcPr>
            <w:tcW w:type="dxa" w:w="28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构建成功 主 JS 约 1034.84 kB</w:t>
            </w:r>
          </w:p>
        </w:tc>
        <w:tc>
          <w:tcPr>
            <w:tcW w:type="dxa" w:w="385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通过但存在大包警告</w:t>
            </w:r>
          </w:p>
        </w:tc>
      </w:tr>
      <w:tr>
        <w:tc>
          <w:tcPr>
            <w:tcW w:type="dxa" w:w="209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前端 Lint</w:t>
            </w:r>
          </w:p>
        </w:tc>
        <w:tc>
          <w:tcPr>
            <w:tcW w:type="dxa" w:w="289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 错误 24 警告</w:t>
            </w:r>
          </w:p>
        </w:tc>
        <w:tc>
          <w:tcPr>
            <w:tcW w:type="dxa" w:w="3855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需清理 Hooks 与未使用项</w:t>
            </w:r>
          </w:p>
        </w:tc>
      </w:tr>
      <w:tr>
        <w:tc>
          <w:tcPr>
            <w:tcW w:type="dxa" w:w="20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工作区清洁度</w:t>
            </w:r>
          </w:p>
        </w:tc>
        <w:tc>
          <w:tcPr>
            <w:tcW w:type="dxa" w:w="28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测试曾改写 4 个受跟踪数据文件 已恢复</w:t>
            </w:r>
          </w:p>
        </w:tc>
        <w:tc>
          <w:tcPr>
            <w:tcW w:type="dxa" w:w="385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测试隔离需要修复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Microsoft YaHei" w:hAnsi="Microsoft YaHei" w:eastAsia="Microsoft YaHei"/>
          <w:color w:val="000000"/>
          <w:sz w:val="21"/>
        </w:rPr>
        <w:t>说明：测试结果来自当前本地环境 Python 3.14.6、FastAPI 0.141.1、pytest 9.1.1、Node.js 24.17.0 和 npm 11.13.0。仓库声明 Python 3.10+ 和 Node.js 18+，但未锁定上限或经过验证的完整版本组合。</w:t>
      </w:r>
    </w:p>
    <w:p>
      <w:pPr>
        <w:pStyle w:val="Heading1"/>
      </w:pPr>
      <w:r>
        <w:t>任务优先级总览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79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70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19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15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建议阶段</w:t>
            </w:r>
          </w:p>
        </w:tc>
      </w:tr>
      <w:tr>
        <w:tc>
          <w:tcPr>
            <w:tcW w:type="dxa" w:w="79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T01</w:t>
            </w:r>
          </w:p>
        </w:tc>
        <w:tc>
          <w:tcPr>
            <w:tcW w:type="dxa" w:w="47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固定可复现的 Python 依赖和运行版本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立即</w:t>
            </w:r>
          </w:p>
        </w:tc>
      </w:tr>
      <w:tr>
        <w:tc>
          <w:tcPr>
            <w:tcW w:type="dxa" w:w="79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T02</w:t>
            </w:r>
          </w:p>
        </w:tc>
        <w:tc>
          <w:tcPr>
            <w:tcW w:type="dxa" w:w="470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恢复后端与网关测试全绿</w:t>
            </w:r>
          </w:p>
        </w:tc>
        <w:tc>
          <w:tcPr>
            <w:tcW w:type="dxa" w:w="119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15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立即</w:t>
            </w:r>
          </w:p>
        </w:tc>
      </w:tr>
      <w:tr>
        <w:tc>
          <w:tcPr>
            <w:tcW w:type="dxa" w:w="79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T03</w:t>
            </w:r>
          </w:p>
        </w:tc>
        <w:tc>
          <w:tcPr>
            <w:tcW w:type="dxa" w:w="47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隔离测试数据并保护仓库运行数据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立即</w:t>
            </w:r>
          </w:p>
        </w:tc>
      </w:tr>
      <w:tr>
        <w:tc>
          <w:tcPr>
            <w:tcW w:type="dxa" w:w="79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T04</w:t>
            </w:r>
          </w:p>
        </w:tc>
        <w:tc>
          <w:tcPr>
            <w:tcW w:type="dxa" w:w="470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建立持续集成质量门禁</w:t>
            </w:r>
          </w:p>
        </w:tc>
        <w:tc>
          <w:tcPr>
            <w:tcW w:type="dxa" w:w="119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15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稳定基线后</w:t>
            </w:r>
          </w:p>
        </w:tc>
      </w:tr>
      <w:tr>
        <w:tc>
          <w:tcPr>
            <w:tcW w:type="dxa" w:w="79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T05</w:t>
            </w:r>
          </w:p>
        </w:tc>
        <w:tc>
          <w:tcPr>
            <w:tcW w:type="dxa" w:w="47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修复前端 Hooks 与 Lint 警告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Phase 6 前半</w:t>
            </w:r>
          </w:p>
        </w:tc>
      </w:tr>
      <w:tr>
        <w:tc>
          <w:tcPr>
            <w:tcW w:type="dxa" w:w="79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T06</w:t>
            </w:r>
          </w:p>
        </w:tc>
        <w:tc>
          <w:tcPr>
            <w:tcW w:type="dxa" w:w="470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拆分前端大包并优化加载性能</w:t>
            </w:r>
          </w:p>
        </w:tc>
        <w:tc>
          <w:tcPr>
            <w:tcW w:type="dxa" w:w="119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15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Phase 6 前半</w:t>
            </w:r>
          </w:p>
        </w:tc>
      </w:tr>
      <w:tr>
        <w:tc>
          <w:tcPr>
            <w:tcW w:type="dxa" w:w="79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T07</w:t>
            </w:r>
          </w:p>
        </w:tc>
        <w:tc>
          <w:tcPr>
            <w:tcW w:type="dxa" w:w="47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 Phase 6 界面与移动端体验优化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Phase 6</w:t>
            </w:r>
          </w:p>
        </w:tc>
      </w:tr>
      <w:tr>
        <w:tc>
          <w:tcPr>
            <w:tcW w:type="dxa" w:w="79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T08</w:t>
            </w:r>
          </w:p>
        </w:tc>
        <w:tc>
          <w:tcPr>
            <w:tcW w:type="dxa" w:w="470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补齐无障碍与键盘操作验收</w:t>
            </w:r>
          </w:p>
        </w:tc>
        <w:tc>
          <w:tcPr>
            <w:tcW w:type="dxa" w:w="119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15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Phase 6</w:t>
            </w:r>
          </w:p>
        </w:tc>
      </w:tr>
      <w:tr>
        <w:tc>
          <w:tcPr>
            <w:tcW w:type="dxa" w:w="79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T09</w:t>
            </w:r>
          </w:p>
        </w:tc>
        <w:tc>
          <w:tcPr>
            <w:tcW w:type="dxa" w:w="47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治理超大模块并明确前后端边界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持续重构</w:t>
            </w:r>
          </w:p>
        </w:tc>
      </w:tr>
      <w:tr>
        <w:tc>
          <w:tcPr>
            <w:tcW w:type="dxa" w:w="79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T10</w:t>
            </w:r>
          </w:p>
        </w:tc>
        <w:tc>
          <w:tcPr>
            <w:tcW w:type="dxa" w:w="470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统一环境变量和服务入口说明</w:t>
            </w:r>
          </w:p>
        </w:tc>
        <w:tc>
          <w:tcPr>
            <w:tcW w:type="dxa" w:w="119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15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近期</w:t>
            </w:r>
          </w:p>
        </w:tc>
      </w:tr>
      <w:tr>
        <w:tc>
          <w:tcPr>
            <w:tcW w:type="dxa" w:w="79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T11</w:t>
            </w:r>
          </w:p>
        </w:tc>
        <w:tc>
          <w:tcPr>
            <w:tcW w:type="dxa" w:w="47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修正文档与真实代码和命令的漂移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近期</w:t>
            </w:r>
          </w:p>
        </w:tc>
      </w:tr>
      <w:tr>
        <w:tc>
          <w:tcPr>
            <w:tcW w:type="dxa" w:w="79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T12</w:t>
            </w:r>
          </w:p>
        </w:tc>
        <w:tc>
          <w:tcPr>
            <w:tcW w:type="dxa" w:w="470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补充部署与运维基线</w:t>
            </w:r>
          </w:p>
        </w:tc>
        <w:tc>
          <w:tcPr>
            <w:tcW w:type="dxa" w:w="119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15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准备发布时</w:t>
            </w:r>
          </w:p>
        </w:tc>
      </w:tr>
      <w:tr>
        <w:tc>
          <w:tcPr>
            <w:tcW w:type="dxa" w:w="79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T13</w:t>
            </w:r>
          </w:p>
        </w:tc>
        <w:tc>
          <w:tcPr>
            <w:tcW w:type="dxa" w:w="47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增加身份认证和权限控制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条件 P0</w:t>
            </w:r>
          </w:p>
        </w:tc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真实用户或公网部署前</w:t>
            </w:r>
          </w:p>
        </w:tc>
      </w:tr>
      <w:tr>
        <w:tc>
          <w:tcPr>
            <w:tcW w:type="dxa" w:w="79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T14</w:t>
            </w:r>
          </w:p>
        </w:tc>
        <w:tc>
          <w:tcPr>
            <w:tcW w:type="dxa" w:w="470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评估文件持久化向数据库迁移</w:t>
            </w:r>
          </w:p>
        </w:tc>
        <w:tc>
          <w:tcPr>
            <w:tcW w:type="dxa" w:w="119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条件 P1</w:t>
            </w:r>
          </w:p>
        </w:tc>
        <w:tc>
          <w:tcPr>
            <w:tcW w:type="dxa" w:w="215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多用户或多进程前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第一阶段 质量基线修复</w:t>
      </w:r>
    </w:p>
    <w:p>
      <w:pPr>
        <w:pStyle w:val="Heading2"/>
      </w:pPr>
      <w:r>
        <w:t>T01  固定可复现的 Python 依赖和运行版本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无前置依赖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requirements.txt 与 pyproject.toml 只使用下限约束。当前安装到 FastAPI 0.141.1 和 pytest 9.1.1，已与现有契约测试产生兼容性差异。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确定并记录正式支持的 Python 版本，建议优先复现 README 声称验证过的 Python 3.13。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为 FastAPI、Starlette、pytest、httpx 等关键依赖增加兼容范围或锁文件。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把 pytest asyncio 纳入开发依赖，并在 pytest 配置中注册 asyncio 标记。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统一 requirements.txt 与 pyproject.toml 的依赖来源，避免两套清单漂移。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全新虚拟环境可用一条文档化命令完成安装。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安装后的版本可重复，且不会出现未知 asyncio 标记警告。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README 明确列出经过验证的 Python 与 Node.js 版本。</w:t>
      </w:r>
    </w:p>
    <w:p>
      <w:pPr>
        <w:pStyle w:val="Heading2"/>
      </w:pPr>
      <w:r>
        <w:t>T02  恢复后端与网关测试全绿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依赖 T01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实测核心测试 142/143，网关测试 385/415。核心失败与 FastAPI 新版的延迟 include router 表示有关；30 个网关失败均为异步测试无法执行。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在确定依赖基线后重新运行 tests 与 gateway/tests，先区分依赖问题和代码缺陷。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调整 API 契约测试，使其验证真实可访问路由，而不是依赖特定 FastAPI 内部对象表示。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为异步测试启用受支持的 pytest 插件与模式。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更新质量门禁脚本，使任一子测试集失败时返回非零状态。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tests 下 143 项全部通过。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gateway/tests 下 415 项全部通过且无未知标记警告。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健康检查和主要 API 可通过 TestClient 或真实本地服务访问。</w:t>
      </w:r>
    </w:p>
    <w:p>
      <w:pPr>
        <w:pStyle w:val="Heading2"/>
      </w:pPr>
      <w:r>
        <w:t>T03  隔离测试数据并保护仓库运行数据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可与 T01 并行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运行网关测试后 companion events、learning sessions、resource events 和 resource effectiveness events 四个受跟踪文件被改写。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所有会写入数据的测试改用 tmp_path 或独立测试仓库实例。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禁止测试默认写入 data 目录中的演示或运行数据。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增加测试后工作区清洁检查，发现受跟踪文件变化即失败。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重新评估哪些动态数据应进入 Git；运行态文件应移动到 data/runtime 并保持忽略。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执行所有后端测试前后 git diff 为空。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并发或失败用例不会残留临时文件。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演示种子与运行数据的目录和生命周期在文档中明确区分。</w:t>
      </w:r>
    </w:p>
    <w:p>
      <w:pPr>
        <w:pStyle w:val="Heading2"/>
      </w:pPr>
      <w:r>
        <w:t>T04  建立持续集成质量门禁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依赖 T01 至 T03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仓库中未发现 GitHub Actions 或其他持续集成配置；README 的测试全绿声明目前依赖人工执行。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在推送和拉取请求时自动安装后端与前端依赖。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运行后端两套测试、前端测试、类型检查、Lint 和生产构建。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缓存依赖但不缓存运行数据；上传失败日志或测试报告。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增加工作区污染检查和关键依赖版本输出。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新拉取请求必须通过全部门禁才能合并。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失败步骤能在日志中直接定位到具体测试或构建阶段。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CI 使用的版本与本地开发文档一致。</w:t>
      </w:r>
    </w:p>
    <w:p>
      <w:r>
        <w:br w:type="page"/>
      </w:r>
    </w:p>
    <w:p>
      <w:pPr>
        <w:pStyle w:val="Heading1"/>
      </w:pPr>
      <w:r>
        <w:t>第二阶段 前端体验与性能</w:t>
      </w:r>
    </w:p>
    <w:p>
      <w:pPr>
        <w:pStyle w:val="Heading2"/>
      </w:pPr>
      <w:r>
        <w:t>T05  修复前端 Hooks 与 Lint 警告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无前置依赖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Oxlint 当前报告 24 条警告，包括同步 effect 内 setState、缺失 Hook 依赖、清理函数直接读取可变 ref 和未使用参数。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逐项检查 effect 是否可改为派生状态、事件更新或稳定回调。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补齐依赖数组时验证不会造成重复请求或循环渲染。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修复 AIAssistant、StudentLayout、ResourceHub、TeacherLayout 等高频组件的警告。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清理未使用的类型、参数和测试导入。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npm run lint 输出 0 错误和 0 警告。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242 项前端测试、类型检查和生产构建继续通过。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学生切换、AI 对话和资源会话不存在重复请求或旧状态回写。</w:t>
      </w:r>
    </w:p>
    <w:p>
      <w:pPr>
        <w:pStyle w:val="Heading2"/>
      </w:pPr>
      <w:r>
        <w:t>T06  拆分前端大包并优化加载性能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建议在 T05 后执行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生产构建成功，但主 JavaScript 文件约 1034.84 kB，Vite 明确提示单块超过 500 kB。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按学生端、教师端、知识图谱和 AI 助手进行路由或功能级动态导入。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把 React Flow 与 Recharts 等重依赖拆入独立异步块。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用构建分析工具确认主要体积来源，避免盲目拆分。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为加载状态和异步失败补充可恢复界面。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生产构建不再出现超限警告，或文档化经过测量后接受的阈值。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首屏只加载当前角色和当前页面所需代码。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弱网或异步块失败时提供明确的重试入口。</w:t>
      </w:r>
    </w:p>
    <w:p>
      <w:pPr>
        <w:pStyle w:val="Heading2"/>
      </w:pPr>
      <w:r>
        <w:t>T07  完成 Phase 6 界面与移动端体验优化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依赖 T05 建议与 T06 协同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产品路线图将 Phase 6 标记为进行中，明确要求优化资源中心、AI 伴学、今日任务、知识图谱和 375 px 移动端体验。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统一页面字阶、间距、卡片层级、按钮状态和反馈动效。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优先优化 ResourceHub、AIAssistant、CurrentFocusCard 与 KnowledgeGraph。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在 375 px、768 px 和常见桌面宽度完成真实浏览器验收。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保留现有 data-testid 和业务契约，不在视觉任务中改写决策逻辑。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核心路径无横向溢出，触控目标达到 44 px 建议尺寸。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加载、空数据、错误、禁用和完成状态均有一致呈现。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现有 UAT 场景通过并补充最新截图证据。</w:t>
      </w:r>
    </w:p>
    <w:p>
      <w:pPr>
        <w:pStyle w:val="Heading2"/>
      </w:pPr>
      <w:r>
        <w:t>T08  补齐无障碍与键盘操作验收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与 T07 同期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源码中存在部分 aria、role 与 alt 属性，但仓库未发现独立的无障碍自动化门禁。复杂弹窗、抽屉、图谱和测验需要系统验收。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检查语义标题、表单标签、焦点顺序、焦点圈与 Escape 关闭行为。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为弹窗和抽屉实现焦点捕获与关闭后的焦点恢复。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验证颜色对比度和非颜色状态提示。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加入 axe 或同类自动检查，并保留键盘人工验收清单。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核心学生旅程可仅用键盘完成。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自动无障碍检查无严重或高等级问题。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知识图谱提供不依赖画布操作的等价信息入口。</w:t>
      </w:r>
    </w:p>
    <w:p>
      <w:r>
        <w:br w:type="page"/>
      </w:r>
    </w:p>
    <w:p>
      <w:pPr>
        <w:pStyle w:val="Heading1"/>
      </w:pPr>
      <w:r>
        <w:t>第三阶段 工程治理与交付</w:t>
      </w:r>
    </w:p>
    <w:p>
      <w:pPr>
        <w:pStyle w:val="Heading2"/>
      </w:pPr>
      <w:r>
        <w:t>T09  治理超大模块并明确前后端边界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在质量基线稳定后渐进执行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gateway/api.py 约 1209 行；前端 types.ts、KnowledgePointQuiz、AIAssistant 和 ResourceHub 均接近或超过 780 行。大文件增加协作冲突与回归风险。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按领域拆分网关路由与请求响应模型，保留统一装配入口。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按功能拆分前端容器、展示组件、状态逻辑和类型。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减少根目录兼容门面的新增依赖，制定逐步淘汰计划。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每次拆分保持 API 和 data-testid 不变，并用现有测试保护。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核心模块职责可由目录结构直接识别。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高频修改文件的合并冲突显著减少。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全部质量门禁保持通过且无循环依赖。</w:t>
      </w:r>
    </w:p>
    <w:p>
      <w:pPr>
        <w:pStyle w:val="Heading2"/>
      </w:pPr>
      <w:r>
        <w:t>T10  统一环境变量和服务入口说明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无前置依赖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项目同时存在 app.main 和 gateway.api 两个 FastAPI 入口；网关配置使用 AI 前缀变量，而 .env.example 主要说明 LLM 前缀变量，容易导致真实模型未按预期启用。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确定开发、测试和演示的唯一推荐入口，并解释另一个入口的用途。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统一 AI_PROVIDER 与 LLM_PROVIDER 等变量，或给出明确映射和弃用策略。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为 mock、none 和真实供应商分别提供最小配置示例。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启动时输出不含密钥的生效配置摘要。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按 README 启动后，健康检查、Swagger 和前端代理均可访问。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只配置示例文件中列出的变量即可切换真实或 mock 模式。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错误配置会在启动期得到明确提示，而不是静默回退。</w:t>
      </w:r>
    </w:p>
    <w:p>
      <w:pPr>
        <w:pStyle w:val="Heading2"/>
      </w:pPr>
      <w:r>
        <w:t>T11  修正文档与真实代码和命令的漂移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依赖 T01 和 T02 的最终版本结论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README 列出的多个前端组件文件在当前源码树不存在；文档称使用 Vitest 3，但 package.json 实际用 Node 内置测试运行器；Git 工作流示例写 master，而仓库当前分支为 main。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从真实目录自动生成或人工校准组件导航。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更新测试框架、版本、测试数量和实际命令。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统一 main 分支与远程协作示例。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将历史审计文档标记为归档，避免把已解决的旧缺口当作当前任务。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新成员按 README 可一次完成安装、启动、测试和构建。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文档中的文件路径、端口、分支名和命令均可验证。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测试数量不再作为容易过期的硬编码宣传值，或由 CI 自动更新。</w:t>
      </w:r>
    </w:p>
    <w:p>
      <w:pPr>
        <w:pStyle w:val="Heading2"/>
      </w:pPr>
      <w:r>
        <w:t>T12  补充部署与运维基线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仅在准备发布时启动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仓库未发现持续部署、容器、反向代理或生产运行配置。当前启动方式适合本地 POC。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明确支持的部署目标和是否需要容器化。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提供生产构建、静态资源托管、后端进程和反向代理说明。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加入结构化日志、健康探针、备份恢复和配置检查。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限制生产 CORS 来源；当前两个 FastAPI 应用均允许任意来源并携带凭据。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在干净环境可按照文档完成一次可重复部署。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健康探针能区分进程存活与关键依赖可用。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生产环境不使用通配 CORS 与开发服务器。</w:t>
      </w:r>
    </w:p>
    <w:p>
      <w:r>
        <w:br w:type="page"/>
      </w:r>
    </w:p>
    <w:p>
      <w:pPr>
        <w:pStyle w:val="Heading1"/>
      </w:pPr>
      <w:r>
        <w:t>条件任务 真实用户与规模化前置条件</w:t>
      </w:r>
    </w:p>
    <w:p>
      <w:pPr>
        <w:pStyle w:val="Heading2"/>
      </w:pPr>
      <w:r>
        <w:t>T13  增加身份认证和权限控制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条件 P0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仅在真实用户或公网部署前变为必做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代码中未发现登录、令牌校验或学生教师权限依赖。当前学生 ID 由客户端路径或请求传入，适合受控演示，不适合真实用户或公网。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明确学生、教师、管理员的身份与数据访问边界。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为所有个人学情、教师看板和写操作加入服务端授权。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记录敏感操作审计，不在日志中泄露令牌或学生隐私。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补充越权访问和学生间数据隔离测试。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学生不能读取或修改其他学生数据。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教师只能访问授权班级。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所有受保护 API 在无凭据和越权情况下返回明确的 401 或 403。</w:t>
      </w:r>
    </w:p>
    <w:p>
      <w:pPr>
        <w:pStyle w:val="Heading2"/>
      </w:pPr>
      <w:r>
        <w:t>T14  评估文件持久化向数据库迁移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061"/>
        <w:gridCol w:w="1191"/>
        <w:gridCol w:w="3402"/>
      </w:tblGrid>
      <w:tr>
        <w:trPr>
          <w:tblHeader w:val="true"/>
        </w:trP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条件 P1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前置关系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仅在多用户 多进程或长期运行前启动</w:t>
            </w:r>
          </w:p>
        </w:tc>
      </w:tr>
      <w:tr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依据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当前主要状态使用 JSON 与 JSONL 文件，锁为进程内 RLock；DEMO_STUDENTS 还是内存态。这适合单机 POC，但多进程、并发写入、查询和恢复能力有限。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建议责任</w:t>
            </w:r>
          </w:p>
        </w:tc>
        <w:tc>
          <w:tcPr>
            <w:tcW w:type="dxa" w:w="23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后端或全栈开发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1"/>
        </w:rPr>
        <w:t>建议工作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先量化并发数、数据规模、部署进程数和审计保留要求。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若超过单机 POC 范围，为学生、事件、会话和掌握状态设计迁移方案。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保留种子数据与运行数据的明确边界，并提供导入导出工具。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在迁移前增加文件存储备份和故障恢复测试。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团队形成继续使用文件或迁移数据库的书面决策与触发阈值。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若迁移，旧演示数据可无损导入，关键状态更新具备事务性。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多进程运行不会造成丢失更新或文件损坏。</w:t>
      </w:r>
    </w:p>
    <w:p>
      <w:pPr>
        <w:pStyle w:val="Heading1"/>
      </w:pPr>
      <w:r>
        <w:t>建议的三批交付计划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13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49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包含任务</w:t>
            </w:r>
          </w:p>
        </w:tc>
        <w:tc>
          <w:tcPr>
            <w:tcW w:type="dxa" w:w="29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批次一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恢复可信质量基线</w:t>
            </w:r>
          </w:p>
        </w:tc>
        <w:tc>
          <w:tcPr>
            <w:tcW w:type="dxa" w:w="249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T01 T02 T03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 558 项全绿 测试不污染工作区</w:t>
            </w:r>
          </w:p>
        </w:tc>
      </w:tr>
      <w:tr>
        <w:tc>
          <w:tcPr>
            <w:tcW w:type="dxa" w:w="113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批次二</w:t>
            </w:r>
          </w:p>
        </w:tc>
        <w:tc>
          <w:tcPr>
            <w:tcW w:type="dxa" w:w="226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自动守护并降低前端风险</w:t>
            </w:r>
          </w:p>
        </w:tc>
        <w:tc>
          <w:tcPr>
            <w:tcW w:type="dxa" w:w="249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T04 T05 T06 T10 T11</w:t>
            </w:r>
          </w:p>
        </w:tc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CI 全绿 Lint 零警告 文档可复现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批次三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 Phase 6 体验交付</w:t>
            </w:r>
          </w:p>
        </w:tc>
        <w:tc>
          <w:tcPr>
            <w:tcW w:type="dxa" w:w="249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T07 T08 以及必要的 T09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真实浏览器与移动端验收通过</w:t>
            </w:r>
          </w:p>
        </w:tc>
      </w:tr>
      <w:tr>
        <w:tc>
          <w:tcPr>
            <w:tcW w:type="dxa" w:w="113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发布前</w:t>
            </w:r>
          </w:p>
        </w:tc>
        <w:tc>
          <w:tcPr>
            <w:tcW w:type="dxa" w:w="226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满足目标环境要求</w:t>
            </w:r>
          </w:p>
        </w:tc>
        <w:tc>
          <w:tcPr>
            <w:tcW w:type="dxa" w:w="249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按需 T12 T13 T14</w:t>
            </w:r>
          </w:p>
        </w:tc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安全 部署 数据方案通过评审</w:t>
            </w:r>
          </w:p>
        </w:tc>
      </w:tr>
    </w:tbl>
    <w:p>
      <w:pPr>
        <w:spacing w:after="20"/>
      </w:pPr>
    </w:p>
    <w:p>
      <w:pPr>
        <w:pStyle w:val="Heading1"/>
      </w:pPr>
      <w:r>
        <w:t>范围控制</w:t>
      </w:r>
    </w:p>
    <w:p>
      <w:pPr>
        <w:keepLines w:val="0"/>
      </w:pPr>
      <w:r>
        <w:rPr>
          <w:rFonts w:ascii="Microsoft YaHei" w:hAnsi="Microsoft YaHei" w:eastAsia="Microsoft YaHei"/>
          <w:color w:val="000000"/>
          <w:sz w:val="21"/>
        </w:rPr>
        <w:t>项目产品愿景明确把微服务、消息队列、Redis 和 Kubernetes 列为当前非目标。因此，本清单不建议为了形式上的工业化引入重型基础设施。优先解决可复现测试、数据隔离、前端质量和真实交付问题；身份认证、数据库和部署增强应由真实使用场景触发。</w:t>
      </w:r>
    </w:p>
    <w:p>
      <w:pPr>
        <w:pStyle w:val="Heading1"/>
      </w:pPr>
      <w:r>
        <w:t>证据来源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README.md 与 frontend/README.md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docs/product/ROADMAP.md、PRODUCT-VISION.md 与 FEATURE-BASELINE.md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docs/PHASE4_PRODUCT_AUDIT.md 与 docs/ARCHITECTURE_AUDIT_PHASE1.md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pyproject.toml、requirements.txt、frontend/package.json 与 .env.example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app、gateway、frontend/src、tests 与 gateway/tests 当前源码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2026-09-24 本地执行的 pytest、npm test、typecheck、build 与 lint 输出</w:t>
      </w:r>
    </w:p>
    <w:sectPr w:rsidR="00FC693F" w:rsidRPr="0006063C" w:rsidSect="00034616">
      <w:footerReference w:type="default" r:id="rId9"/>
      <w:pgSz w:w="11906" w:h="16838"/>
      <w:pgMar w:top="1191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学海智导项目待完善任务梳理</dc:title>
  <dc:subject>项目审查与后续任务优先级</dc:subject>
  <dc:creator>项目协作组</dc:creator>
  <cp:keywords>学海智导 任务梳理 项目审查 技术债 Phase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