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86" w:rsidRDefault="0064209C">
      <w:r>
        <w:rPr>
          <w:noProof/>
        </w:rPr>
        <mc:AlternateContent>
          <mc:Choice Requires="wpg">
            <w:drawing>
              <wp:anchor distT="0" distB="0" distL="114300" distR="114300" simplePos="0" relativeHeight="251662336" behindDoc="0" locked="0" layoutInCell="1" allowOverlap="1">
                <wp:simplePos x="0" y="0"/>
                <wp:positionH relativeFrom="page">
                  <wp:posOffset>229235</wp:posOffset>
                </wp:positionH>
                <wp:positionV relativeFrom="page">
                  <wp:posOffset>231140</wp:posOffset>
                </wp:positionV>
                <wp:extent cx="7313930" cy="1217295"/>
                <wp:effectExtent l="0" t="0" r="0" b="0"/>
                <wp:wrapNone/>
                <wp:docPr id="4"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17295"/>
                          <a:chOff x="0" y="-1"/>
                          <a:chExt cx="7315200" cy="1216153"/>
                        </a:xfrm>
                      </wpg:grpSpPr>
                      <wps:wsp>
                        <wps:cNvPr id="5" name="Rectángulo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ángulo 151"/>
                        <wps:cNvSpPr>
                          <a:spLocks noChangeArrowheads="1"/>
                        </wps:cNvSpPr>
                        <wps:spPr bwMode="auto">
                          <a:xfrm>
                            <a:off x="0" y="0"/>
                            <a:ext cx="7315200" cy="1216152"/>
                          </a:xfrm>
                          <a:prstGeom prst="rect">
                            <a:avLst/>
                          </a:prstGeom>
                          <a:blipFill dpi="0" rotWithShape="1">
                            <a:blip r:embed="rId5"/>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9653C2A" id="Grupo 149" o:spid="_x0000_s1026" style="position:absolute;margin-left:18.05pt;margin-top:18.2pt;width:575.9pt;height:95.85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&#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j4HHt4AAAAKAQAADwAAAGRycy9k&#10;b3ducmV2LnhtbEyPwW6DMBBE75XyD9ZW6q0xphGhFBMllfoBTaMoRwdvAQWvCTYJ9OtrTu1ptZrR&#10;zJt8M5qW3bB3jSUJYhkBQyqtbqiScPj6eE6BOa9Iq9YSSpjQwaZYPOQq0/ZOn3jb+4qFEHKZklB7&#10;32Wcu7JGo9zSdkhB+7a9UT68fcV1r+4h3LQ8jqKEG9VQaKhVh+81lpf9YELvKd4N4meaiJ+Ol103&#10;JddhdZXy6XHcvgHzOPo/M8z4AR2KwHS2A2nHWgkviQjO+a6AzbpI16/AzhLiOBXAi5z/n1D8Ag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" path="m,l7312660,r,1129665l3619500,733425,,1091565,,xe" fillcolor="#4472c4" stroked="f" strokeweight="1pt">
                  <v:stroke joinstyle="miter"/>
                  <v:path arrowok="t" o:connecttype="custom" o:connectlocs="0,0;7317741,0;7317741,1131081;3622015,734345;0,1092934;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8227695</wp:posOffset>
                </wp:positionV>
                <wp:extent cx="7313930" cy="925195"/>
                <wp:effectExtent l="0" t="0" r="0" b="0"/>
                <wp:wrapSquare wrapText="bothSides"/>
                <wp:docPr id="3" name="Cuadro de texto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 xml:space="preserve">Óscar Gómez </w:t>
                            </w:r>
                            <w:proofErr w:type="spellStart"/>
                            <w:r>
                              <w:rPr>
                                <w:color w:val="595959"/>
                                <w:sz w:val="28"/>
                                <w:szCs w:val="28"/>
                              </w:rPr>
                              <w:t>Borzdynski</w:t>
                            </w:r>
                            <w:proofErr w:type="spellEnd"/>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05pt;margin-top:647.85pt;width:575.9pt;height:72.85pt;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" filled="f" stroked="f" strokeweight=".5pt">
                <v:textbox inset="126pt,0,54pt,0">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 xml:space="preserve">Óscar Gómez </w:t>
                      </w:r>
                      <w:proofErr w:type="spellStart"/>
                      <w:r>
                        <w:rPr>
                          <w:color w:val="595959"/>
                          <w:sz w:val="28"/>
                          <w:szCs w:val="28"/>
                        </w:rPr>
                        <w:t>Borzdynski</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7040880</wp:posOffset>
                </wp:positionV>
                <wp:extent cx="7313930" cy="154940"/>
                <wp:effectExtent l="0" t="0" r="0" b="0"/>
                <wp:wrapSquare wrapText="bothSides"/>
                <wp:docPr id="2"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7A5B86">
                            <w:pPr>
                              <w:pStyle w:val="Sinespaciado"/>
                              <w:jc w:val="right"/>
                              <w:rPr>
                                <w:color w:val="595959"/>
                                <w:sz w:val="20"/>
                                <w:szCs w:val="20"/>
                              </w:rPr>
                            </w:pP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8.05pt;margin-top:554.4pt;width:575.9pt;height:12.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" filled="f" stroked="f" strokeweight=".5pt">
                <v:textbox style="mso-fit-shape-to-text:t" inset="126pt,0,54pt,0">
                  <w:txbxContent>
                    <w:p w:rsidR="007A5B86" w:rsidRPr="007A5B86" w:rsidRDefault="007A5B86">
                      <w:pPr>
                        <w:pStyle w:val="Sinespaciado"/>
                        <w:jc w:val="right"/>
                        <w:rPr>
                          <w:color w:val="59595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3017520</wp:posOffset>
                </wp:positionV>
                <wp:extent cx="7313930" cy="3651250"/>
                <wp:effectExtent l="0" t="0" r="0" b="0"/>
                <wp:wrapSquare wrapText="bothSides"/>
                <wp:docPr id="1"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18.05pt;margin-top:237.6pt;width:575.9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" filled="f" stroked="f" strokeweight=".5pt">
                <v:textbox inset="126pt,0,54pt,0">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v:textbox>
                <w10:wrap type="square" anchorx="page" anchory="page"/>
              </v:shape>
            </w:pict>
          </mc:Fallback>
        </mc:AlternateContent>
      </w:r>
    </w:p>
    <w:p w:rsidR="009E528C" w:rsidRDefault="007A5B86" w:rsidP="00827A7C">
      <w:pPr>
        <w:pStyle w:val="Ttulo1"/>
      </w:pPr>
      <w:r>
        <w:br w:type="page"/>
      </w:r>
      <w:r w:rsidR="00827A7C">
        <w:lastRenderedPageBreak/>
        <w:t>EJERCICIO 1</w:t>
      </w:r>
    </w:p>
    <w:p w:rsidR="00827A7C" w:rsidRDefault="00827A7C" w:rsidP="00827A7C">
      <w:pPr>
        <w:pStyle w:val="Ttulo2"/>
      </w:pPr>
      <w:r>
        <w:t>1a. Cuestiones de estadística descriptiva y regresión lineal</w:t>
      </w:r>
    </w:p>
    <w:p w:rsidR="00827A7C" w:rsidRDefault="00827A7C" w:rsidP="00827A7C"/>
    <w:p w:rsidR="00827A7C" w:rsidRDefault="00827A7C" w:rsidP="00827A7C">
      <w:r>
        <w:t>En este primer ejercicio vamos a tomar la serie de datos del IBEX dada y vamos a calcular los siguientes datos:</w:t>
      </w:r>
    </w:p>
    <w:p w:rsidR="00827A7C" w:rsidRDefault="00827A7C" w:rsidP="00827A7C">
      <w:pPr>
        <w:numPr>
          <w:ilvl w:val="0"/>
          <w:numId w:val="1"/>
        </w:numPr>
      </w:pPr>
      <w:r>
        <w:t>Media = 10541,03</w:t>
      </w:r>
    </w:p>
    <w:p w:rsidR="00827A7C" w:rsidRDefault="00827A7C" w:rsidP="00827A7C">
      <w:pPr>
        <w:numPr>
          <w:ilvl w:val="0"/>
          <w:numId w:val="1"/>
        </w:numPr>
      </w:pPr>
      <w:proofErr w:type="spellStart"/>
      <w:r>
        <w:t>Cuasidesviación</w:t>
      </w:r>
      <w:proofErr w:type="spellEnd"/>
      <w:r>
        <w:t xml:space="preserve"> típica = 2162,605</w:t>
      </w:r>
    </w:p>
    <w:p w:rsidR="00827A7C" w:rsidRDefault="00827A7C" w:rsidP="00827A7C">
      <w:pPr>
        <w:numPr>
          <w:ilvl w:val="0"/>
          <w:numId w:val="1"/>
        </w:numPr>
      </w:pPr>
      <w:r>
        <w:t>Rendimiento máximo = 14,435%</w:t>
      </w:r>
    </w:p>
    <w:p w:rsidR="00827A7C" w:rsidRDefault="00827A7C" w:rsidP="00827A7C">
      <w:pPr>
        <w:numPr>
          <w:ilvl w:val="0"/>
          <w:numId w:val="1"/>
        </w:numPr>
      </w:pPr>
      <w:r>
        <w:t>Rendimiento mínimo = -9,141%</w:t>
      </w:r>
    </w:p>
    <w:p w:rsidR="00827A7C" w:rsidRPr="00FA7BDA" w:rsidRDefault="00827A7C" w:rsidP="00827A7C">
      <w:r>
        <w:t xml:space="preserve">A </w:t>
      </w:r>
      <w:proofErr w:type="gramStart"/>
      <w:r>
        <w:t>continuación</w:t>
      </w:r>
      <w:proofErr w:type="gramEnd"/>
      <w:r>
        <w:t xml:space="preserve"> vamos a construir un histograma con 60 clases, tomadas entre el rendimiento mínimo y el máximo.</w:t>
      </w:r>
      <w:r w:rsidR="00FA7BDA">
        <w:t xml:space="preserve"> Obtenemos una media </w:t>
      </w:r>
      <m:oMath>
        <m:acc>
          <m:accPr>
            <m:chr m:val="̅"/>
            <m:ctrlPr>
              <w:rPr>
                <w:rFonts w:ascii="Cambria Math" w:hAnsi="Cambria Math"/>
                <w:i/>
              </w:rPr>
            </m:ctrlPr>
          </m:accPr>
          <m:e>
            <m:r>
              <w:rPr>
                <w:rFonts w:ascii="Cambria Math" w:hAnsi="Cambria Math"/>
              </w:rPr>
              <m:t>x</m:t>
            </m:r>
          </m:e>
        </m:acc>
        <m:r>
          <w:rPr>
            <w:rFonts w:ascii="Cambria Math" w:hAnsi="Cambria Math"/>
          </w:rPr>
          <m:t>=0,017838%</m:t>
        </m:r>
      </m:oMath>
      <w:r w:rsidR="00FA7BDA">
        <w:t xml:space="preserve"> y una </w:t>
      </w:r>
      <w:proofErr w:type="spellStart"/>
      <w:r w:rsidR="00FA7BDA">
        <w:t>cuasivarianza</w:t>
      </w:r>
      <w:proofErr w:type="spellEnd"/>
      <w:r w:rsidR="00FA7BDA">
        <w:t xml:space="preserve"> s</w:t>
      </w:r>
      <w:r w:rsidR="00FA7BDA">
        <w:rPr>
          <w:vertAlign w:val="superscript"/>
        </w:rPr>
        <w:t>2</w:t>
      </w:r>
      <w:r w:rsidR="00FA7BDA">
        <w:t xml:space="preserve"> = 0,0235%.</w:t>
      </w:r>
    </w:p>
    <w:p w:rsidR="00FA7BDA" w:rsidRDefault="00FA7BDA" w:rsidP="00827A7C">
      <w:r>
        <w:rPr>
          <w:noProof/>
        </w:rPr>
        <w:drawing>
          <wp:inline distT="0" distB="0" distL="0" distR="0">
            <wp:extent cx="5612130" cy="36626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a.png"/>
                    <pic:cNvPicPr/>
                  </pic:nvPicPr>
                  <pic:blipFill>
                    <a:blip r:embed="rId7"/>
                    <a:stretch>
                      <a:fillRect/>
                    </a:stretch>
                  </pic:blipFill>
                  <pic:spPr>
                    <a:xfrm>
                      <a:off x="0" y="0"/>
                      <a:ext cx="5612130" cy="3662680"/>
                    </a:xfrm>
                    <a:prstGeom prst="rect">
                      <a:avLst/>
                    </a:prstGeom>
                  </pic:spPr>
                </pic:pic>
              </a:graphicData>
            </a:graphic>
          </wp:inline>
        </w:drawing>
      </w:r>
    </w:p>
    <w:p w:rsidR="00FA7BDA" w:rsidRDefault="00FA7BDA" w:rsidP="00827A7C">
      <w:r>
        <w:t>Como se puede apreciar, el rendimiento del IBEX parece seguir una distribución normal, con una media dentro de la clase del 0,093% (en la que también se encuentra nuestra media muestral).</w:t>
      </w:r>
    </w:p>
    <w:p w:rsidR="005B57B9" w:rsidRDefault="005B57B9" w:rsidP="00827A7C">
      <w:r>
        <w:t xml:space="preserve">Por </w:t>
      </w:r>
      <w:proofErr w:type="gramStart"/>
      <w:r>
        <w:t>último</w:t>
      </w:r>
      <w:proofErr w:type="gramEnd"/>
      <w:r>
        <w:t xml:space="preserve"> queremos estudiar la correlación entre los rendimientos de Iberdrola e IBEX. Para ello calculamos el coeficiente de correlación, resultando un 0,841855. Para visualizar los datos, insertamos una tabla de correlación con su correspondiente recta de regresión. En la regresión se observa una bondad de 0,7087.</w:t>
      </w:r>
    </w:p>
    <w:p w:rsidR="005B57B9" w:rsidRDefault="00FA7BDA" w:rsidP="00827A7C">
      <w:r>
        <w:rPr>
          <w:noProof/>
        </w:rPr>
        <w:lastRenderedPageBreak/>
        <w:drawing>
          <wp:inline distT="0" distB="0" distL="0" distR="0">
            <wp:extent cx="5612130" cy="36626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ion.png"/>
                    <pic:cNvPicPr/>
                  </pic:nvPicPr>
                  <pic:blipFill>
                    <a:blip r:embed="rId8"/>
                    <a:stretch>
                      <a:fillRect/>
                    </a:stretch>
                  </pic:blipFill>
                  <pic:spPr>
                    <a:xfrm>
                      <a:off x="0" y="0"/>
                      <a:ext cx="5612130" cy="3662680"/>
                    </a:xfrm>
                    <a:prstGeom prst="rect">
                      <a:avLst/>
                    </a:prstGeom>
                  </pic:spPr>
                </pic:pic>
              </a:graphicData>
            </a:graphic>
          </wp:inline>
        </w:drawing>
      </w:r>
    </w:p>
    <w:p w:rsidR="005B57B9" w:rsidRDefault="005B57B9" w:rsidP="00827A7C"/>
    <w:p w:rsidR="005B57B9" w:rsidRDefault="005B57B9" w:rsidP="005B57B9">
      <w:pPr>
        <w:pStyle w:val="Ttulo2"/>
      </w:pPr>
      <w:r>
        <w:t>1b. Intervalos de confianza y contraste de hipótesis</w:t>
      </w:r>
    </w:p>
    <w:p w:rsidR="005B57B9" w:rsidRDefault="005B57B9" w:rsidP="005B57B9"/>
    <w:p w:rsidR="00246DC5" w:rsidRDefault="005B57B9" w:rsidP="005B57B9">
      <w:r>
        <w:t xml:space="preserve">Suponemos ahora que los rendimientos siguen una distribución normal. Obtenemos, con un </w:t>
      </w:r>
      <w:r>
        <w:rPr>
          <w:rFonts w:cs="Calibri"/>
        </w:rPr>
        <w:t>α</w:t>
      </w:r>
      <w:r>
        <w:t xml:space="preserve"> = 5%, un intervalo de confianza para las medias de los rendimientos de Iberdrola</w:t>
      </w:r>
      <w:r w:rsidR="006F1DC4">
        <w:t xml:space="preserve"> de (</w:t>
      </w:r>
      <m:oMath>
        <m:acc>
          <m:accPr>
            <m:chr m:val="̅"/>
            <m:ctrlPr>
              <w:rPr>
                <w:rFonts w:ascii="Cambria Math" w:hAnsi="Cambria Math"/>
                <w:i/>
              </w:rPr>
            </m:ctrlPr>
          </m:accPr>
          <m:e>
            <m:r>
              <w:rPr>
                <w:rFonts w:ascii="Cambria Math" w:hAnsi="Cambria Math"/>
              </w:rPr>
              <m:t>x</m:t>
            </m:r>
          </m:e>
        </m:acc>
      </m:oMath>
      <w:r w:rsidR="006F1DC4">
        <w:t xml:space="preserve"> </w:t>
      </w:r>
      <w:r w:rsidR="006F1DC4">
        <w:rPr>
          <w:rFonts w:cs="Calibri"/>
        </w:rPr>
        <w:t xml:space="preserve">± </w:t>
      </w:r>
      <w:r w:rsidR="006F1DC4">
        <w:t>0,0007489).</w:t>
      </w:r>
    </w:p>
    <w:p w:rsidR="006F1DC4" w:rsidRDefault="006F1DC4" w:rsidP="005B57B9">
      <w:r>
        <w:t>Tomamos la hipótesis H</w:t>
      </w:r>
      <w:r>
        <w:rPr>
          <w:vertAlign w:val="subscript"/>
        </w:rPr>
        <w:t xml:space="preserve">0 </w:t>
      </w:r>
      <w:r>
        <w:rPr>
          <w:rFonts w:cs="Calibri"/>
        </w:rPr>
        <w:t>≡</w:t>
      </w:r>
      <w:r>
        <w:t xml:space="preserve"> </w:t>
      </w:r>
      <w:r>
        <w:rPr>
          <w:rFonts w:cs="Calibri"/>
        </w:rPr>
        <w:t>µ</w:t>
      </w:r>
      <w:r>
        <w:rPr>
          <w:vertAlign w:val="subscript"/>
        </w:rPr>
        <w:t>IBEX</w:t>
      </w:r>
      <w:r>
        <w:t xml:space="preserve"> = 0%, con una significación </w:t>
      </w:r>
      <w:r>
        <w:rPr>
          <w:rFonts w:cs="Calibri"/>
        </w:rPr>
        <w:t>α</w:t>
      </w:r>
      <w:r>
        <w:t xml:space="preserve"> = 1%. Tras obtener el intervalo de confianza para la media del IBEX, vemos que valor de la hipótesis nula se encuentra dentro del mismo, por lo que no podemos rechazar con confianza la hipótesis y la </w:t>
      </w:r>
      <w:r w:rsidR="00F17C86">
        <w:t>aceptaremos</w:t>
      </w:r>
      <w:r>
        <w:t>.</w:t>
      </w:r>
    </w:p>
    <w:p w:rsidR="004B7717" w:rsidRDefault="004B7717" w:rsidP="005B57B9">
      <w:r>
        <w:t xml:space="preserve">A </w:t>
      </w:r>
      <w:proofErr w:type="gramStart"/>
      <w:r>
        <w:t>continuación</w:t>
      </w:r>
      <w:proofErr w:type="gramEnd"/>
      <w:r>
        <w:t xml:space="preserve"> planteamos la hipótesis H</w:t>
      </w:r>
      <w:r>
        <w:rPr>
          <w:vertAlign w:val="subscript"/>
        </w:rPr>
        <w:t xml:space="preserve">0 </w:t>
      </w:r>
      <w:r>
        <w:rPr>
          <w:rFonts w:cs="Calibri"/>
        </w:rPr>
        <w:t>≡</w:t>
      </w:r>
      <w:r>
        <w:t xml:space="preserve"> </w:t>
      </w:r>
      <w:r>
        <w:rPr>
          <w:rFonts w:cs="Calibri"/>
        </w:rPr>
        <w:t>σ</w:t>
      </w:r>
      <w:r>
        <w:rPr>
          <w:rFonts w:cs="Calibri"/>
          <w:vertAlign w:val="superscript"/>
        </w:rPr>
        <w:t>2</w:t>
      </w:r>
      <w:r>
        <w:rPr>
          <w:vertAlign w:val="subscript"/>
        </w:rPr>
        <w:t>IBERDROLA</w:t>
      </w:r>
      <w:r>
        <w:t xml:space="preserve"> </w:t>
      </w:r>
      <w:r>
        <w:rPr>
          <w:rFonts w:cs="Calibri"/>
        </w:rPr>
        <w:t>≤</w:t>
      </w:r>
      <w:r>
        <w:t xml:space="preserve"> </w:t>
      </w:r>
      <w:r>
        <w:rPr>
          <w:rFonts w:cs="Calibri"/>
        </w:rPr>
        <w:t>σ</w:t>
      </w:r>
      <w:r>
        <w:rPr>
          <w:rFonts w:cs="Calibri"/>
          <w:vertAlign w:val="superscript"/>
        </w:rPr>
        <w:t xml:space="preserve"> 2</w:t>
      </w:r>
      <w:r>
        <w:rPr>
          <w:vertAlign w:val="subscript"/>
        </w:rPr>
        <w:t xml:space="preserve">IBEX </w:t>
      </w:r>
      <w:r>
        <w:t>para tratar de concluir que la variabilidad en los rendimientos del IBEX es significativamente meno</w:t>
      </w:r>
      <w:r w:rsidR="005C739B">
        <w:t>r</w:t>
      </w:r>
      <w:r>
        <w:t xml:space="preserve"> que la de los rendimientos de IBERDROLA. Tras contrastar esta hipótesis llegamos a la conclusión </w:t>
      </w:r>
      <w:r w:rsidR="00147415">
        <w:t>de que, con confianza del 95%, se rechaza nuestra hipótesis y</w:t>
      </w:r>
      <w:r w:rsidR="005C739B">
        <w:t>, por tanto, se puede afirmar que la variabilidad en los rendimientos del IBEX es realmente menor que la de IBERDROLA.</w:t>
      </w:r>
    </w:p>
    <w:p w:rsidR="005C739B" w:rsidRDefault="005C739B" w:rsidP="005B57B9"/>
    <w:p w:rsidR="006660AC" w:rsidRDefault="006660AC" w:rsidP="005B57B9"/>
    <w:p w:rsidR="006660AC" w:rsidRDefault="006660AC" w:rsidP="005B57B9">
      <w:bookmarkStart w:id="0" w:name="_GoBack"/>
      <w:bookmarkEnd w:id="0"/>
    </w:p>
    <w:p w:rsidR="005C739B" w:rsidRDefault="005C739B" w:rsidP="005C739B">
      <w:pPr>
        <w:pStyle w:val="Ttulo1"/>
      </w:pPr>
      <w:r>
        <w:lastRenderedPageBreak/>
        <w:t>EJERCICIO 2</w:t>
      </w:r>
    </w:p>
    <w:p w:rsidR="005C739B" w:rsidRDefault="005C739B" w:rsidP="005C739B"/>
    <w:p w:rsidR="0064209C" w:rsidRDefault="005C739B" w:rsidP="000A590B">
      <w:pPr>
        <w:pStyle w:val="Ttulo2"/>
      </w:pPr>
      <w:r>
        <w:t xml:space="preserve">2a. Generación de muestras del par </w:t>
      </w:r>
      <w:r w:rsidR="00E274BF">
        <w:t>(</w:t>
      </w:r>
      <m:oMath>
        <m:acc>
          <m:accPr>
            <m:chr m:val="̅"/>
            <m:ctrlPr>
              <w:rPr>
                <w:rFonts w:ascii="Cambria Math" w:hAnsi="Cambria Math"/>
              </w:rPr>
            </m:ctrlPr>
          </m:accPr>
          <m:e>
            <m:r>
              <m:rPr>
                <m:sty m:val="bi"/>
              </m:rPr>
              <w:rPr>
                <w:rFonts w:ascii="Cambria Math" w:hAnsi="Cambria Math"/>
              </w:rPr>
              <m:t xml:space="preserve">X,  </m:t>
            </m:r>
          </m:e>
        </m:acc>
        <m:r>
          <m:rPr>
            <m:sty m:val="bi"/>
          </m:rPr>
          <w:rPr>
            <w:rFonts w:ascii="Cambria Math" w:hAnsi="Cambria Math"/>
          </w:rPr>
          <m:t>S</m:t>
        </m:r>
      </m:oMath>
      <w:r w:rsidR="0064209C">
        <w:rPr>
          <w:vertAlign w:val="superscript"/>
        </w:rPr>
        <w:t>2</w:t>
      </w:r>
      <w:r w:rsidR="0064209C">
        <w:t>)</w:t>
      </w:r>
    </w:p>
    <w:p w:rsidR="000A590B" w:rsidRDefault="00BB1E8E" w:rsidP="0064209C">
      <w:r>
        <w:t xml:space="preserve">Para la generación de muestras tomaremos los siguientes datos: </w:t>
      </w:r>
      <w:r>
        <w:rPr>
          <w:rFonts w:cs="Calibri"/>
        </w:rPr>
        <w:t>µ</w:t>
      </w:r>
      <w:r w:rsidR="000A590B">
        <w:t xml:space="preserve"> = 1, </w:t>
      </w:r>
      <w:r w:rsidR="000A590B">
        <w:rPr>
          <w:rFonts w:cs="Calibri"/>
        </w:rPr>
        <w:t>σ</w:t>
      </w:r>
      <w:r w:rsidR="000A590B">
        <w:rPr>
          <w:vertAlign w:val="superscript"/>
        </w:rPr>
        <w:t>2</w:t>
      </w:r>
      <w:r w:rsidR="000A590B">
        <w:t xml:space="preserve"> = 2, n = 20. Comenzaremos sorteando una muestra de normales, obteniendo una media </w:t>
      </w:r>
      <m:oMath>
        <m:acc>
          <m:accPr>
            <m:chr m:val="̅"/>
            <m:ctrlPr>
              <w:rPr>
                <w:rFonts w:ascii="Cambria Math" w:hAnsi="Cambria Math"/>
                <w:i/>
              </w:rPr>
            </m:ctrlPr>
          </m:accPr>
          <m:e>
            <m:r>
              <w:rPr>
                <w:rFonts w:ascii="Cambria Math" w:hAnsi="Cambria Math"/>
              </w:rPr>
              <m:t>x</m:t>
            </m:r>
          </m:e>
        </m:acc>
      </m:oMath>
      <w:r w:rsidR="000A590B">
        <w:t xml:space="preserve"> = 0,797 y una cuasivarianza s</w:t>
      </w:r>
      <w:r w:rsidR="000A590B">
        <w:rPr>
          <w:vertAlign w:val="superscript"/>
        </w:rPr>
        <w:t xml:space="preserve">2 </w:t>
      </w:r>
      <w:r w:rsidR="000A590B">
        <w:t xml:space="preserve">= 1,813. A </w:t>
      </w:r>
      <w:proofErr w:type="gramStart"/>
      <w:r w:rsidR="000A590B">
        <w:t>continuación</w:t>
      </w:r>
      <w:proofErr w:type="gramEnd"/>
      <w:r w:rsidR="000A590B">
        <w:t xml:space="preserve"> hemos repetido este experimento 3000 veces y hemos elaborado una tabla donde almacenamos los valores de </w:t>
      </w:r>
      <m:oMath>
        <m:acc>
          <m:accPr>
            <m:chr m:val="̅"/>
            <m:ctrlPr>
              <w:rPr>
                <w:rFonts w:ascii="Cambria Math" w:hAnsi="Cambria Math"/>
                <w:i/>
              </w:rPr>
            </m:ctrlPr>
          </m:accPr>
          <m:e>
            <m:r>
              <w:rPr>
                <w:rFonts w:ascii="Cambria Math" w:hAnsi="Cambria Math"/>
              </w:rPr>
              <m:t>x</m:t>
            </m:r>
          </m:e>
        </m:acc>
      </m:oMath>
      <w:r w:rsidR="000A590B">
        <w:t xml:space="preserve"> y s</w:t>
      </w:r>
      <w:r w:rsidR="000A590B">
        <w:rPr>
          <w:vertAlign w:val="superscript"/>
        </w:rPr>
        <w:t>2</w:t>
      </w:r>
      <w:r w:rsidR="000A590B">
        <w:t>. En nuestra primera simulación, la media es inferior a la de nuestra distribución (</w:t>
      </w:r>
      <w:r w:rsidR="000A590B">
        <w:rPr>
          <w:rFonts w:cs="Calibri"/>
        </w:rPr>
        <w:t>µ</w:t>
      </w:r>
      <w:r w:rsidR="000A590B">
        <w:t xml:space="preserve"> = 1), pero esperamos que tomar numerosas muestras, tal y como enuncia el teorema de Fischer-</w:t>
      </w:r>
      <w:proofErr w:type="spellStart"/>
      <w:r w:rsidR="000A590B">
        <w:t>Cochran</w:t>
      </w:r>
      <w:proofErr w:type="spellEnd"/>
      <w:r w:rsidR="000A590B">
        <w:t xml:space="preserve">, </w:t>
      </w:r>
      <w:proofErr w:type="gramStart"/>
      <w:r w:rsidR="000A590B">
        <w:t>E(</w:t>
      </w:r>
      <w:proofErr w:type="gramEnd"/>
      <m:oMath>
        <m:acc>
          <m:accPr>
            <m:chr m:val="̅"/>
            <m:ctrlPr>
              <w:rPr>
                <w:rFonts w:ascii="Cambria Math" w:hAnsi="Cambria Math"/>
                <w:i/>
              </w:rPr>
            </m:ctrlPr>
          </m:accPr>
          <m:e>
            <m:r>
              <w:rPr>
                <w:rFonts w:ascii="Cambria Math" w:hAnsi="Cambria Math"/>
              </w:rPr>
              <m:t>X</m:t>
            </m:r>
          </m:e>
        </m:acc>
      </m:oMath>
      <w:r w:rsidR="000A590B">
        <w:t xml:space="preserve">) sea igual a nuestro </w:t>
      </w:r>
      <w:r w:rsidR="000A590B">
        <w:rPr>
          <w:rFonts w:cs="Calibri"/>
        </w:rPr>
        <w:t>µ</w:t>
      </w:r>
      <w:r w:rsidR="000A590B">
        <w:t>.</w:t>
      </w:r>
    </w:p>
    <w:p w:rsidR="000A590B" w:rsidRDefault="000A590B" w:rsidP="0064209C"/>
    <w:p w:rsidR="000A590B" w:rsidRDefault="000A590B" w:rsidP="000A590B">
      <w:pPr>
        <w:pStyle w:val="Ttulo2"/>
      </w:pPr>
      <w:r>
        <w:t>2b. Análisis de las muestras obtenidas</w:t>
      </w:r>
    </w:p>
    <w:p w:rsidR="000A590B" w:rsidRDefault="000A590B" w:rsidP="000A590B">
      <w:r>
        <w:t xml:space="preserve">Usando la muestra obtenida en el apartado anterior, obtenemos una media </w:t>
      </w:r>
      <w:proofErr w:type="gramStart"/>
      <w:r>
        <w:t>E(</w:t>
      </w:r>
      <w:proofErr w:type="gramEnd"/>
      <m:oMath>
        <m:acc>
          <m:accPr>
            <m:chr m:val="̅"/>
            <m:ctrlPr>
              <w:rPr>
                <w:rFonts w:ascii="Cambria Math" w:hAnsi="Cambria Math"/>
                <w:i/>
              </w:rPr>
            </m:ctrlPr>
          </m:accPr>
          <m:e>
            <m:r>
              <w:rPr>
                <w:rFonts w:ascii="Cambria Math" w:hAnsi="Cambria Math"/>
              </w:rPr>
              <m:t>X</m:t>
            </m:r>
          </m:e>
        </m:acc>
      </m:oMath>
      <w:r>
        <w:t>) = 1,0012454 y V(</w:t>
      </w:r>
      <m:oMath>
        <m:acc>
          <m:accPr>
            <m:chr m:val="̅"/>
            <m:ctrlPr>
              <w:rPr>
                <w:rFonts w:ascii="Cambria Math" w:hAnsi="Cambria Math"/>
                <w:i/>
              </w:rPr>
            </m:ctrlPr>
          </m:accPr>
          <m:e>
            <m:r>
              <w:rPr>
                <w:rFonts w:ascii="Cambria Math" w:hAnsi="Cambria Math"/>
              </w:rPr>
              <m:t>X</m:t>
            </m:r>
          </m:e>
        </m:acc>
      </m:oMath>
      <w:r>
        <w:t xml:space="preserve">) = 0,09985663. Tal y como se esperaba, </w:t>
      </w:r>
      <w:proofErr w:type="gramStart"/>
      <w:r w:rsidR="003B4DA0">
        <w:t>E(</w:t>
      </w:r>
      <w:proofErr w:type="gramEnd"/>
      <m:oMath>
        <m:acc>
          <m:accPr>
            <m:chr m:val="̅"/>
            <m:ctrlPr>
              <w:rPr>
                <w:rFonts w:ascii="Cambria Math" w:hAnsi="Cambria Math"/>
                <w:i/>
              </w:rPr>
            </m:ctrlPr>
          </m:accPr>
          <m:e>
            <m:r>
              <w:rPr>
                <w:rFonts w:ascii="Cambria Math" w:hAnsi="Cambria Math"/>
              </w:rPr>
              <m:t>X</m:t>
            </m:r>
          </m:e>
        </m:acc>
      </m:oMath>
      <w:r w:rsidR="003B4DA0">
        <w:t xml:space="preserve">) </w:t>
      </w:r>
      <w:r w:rsidR="003B4DA0">
        <w:rPr>
          <w:rFonts w:cs="Calibri"/>
        </w:rPr>
        <w:t>≈</w:t>
      </w:r>
      <w:r w:rsidR="003B4DA0">
        <w:t xml:space="preserve"> </w:t>
      </w:r>
      <w:r w:rsidR="003B4DA0">
        <w:rPr>
          <w:rFonts w:cs="Calibri"/>
        </w:rPr>
        <w:t>µ</w:t>
      </w:r>
      <w:r w:rsidR="003B4DA0">
        <w:t xml:space="preserve"> = 1, con una varianza muy pequeña, siendo evidente que se está cumpliendo Fischer-</w:t>
      </w:r>
      <w:proofErr w:type="spellStart"/>
      <w:r w:rsidR="003B4DA0">
        <w:t>Cochran</w:t>
      </w:r>
      <w:proofErr w:type="spellEnd"/>
      <w:r w:rsidR="003B4DA0">
        <w:t>.</w:t>
      </w:r>
    </w:p>
    <w:p w:rsidR="003B4DA0" w:rsidRDefault="003B4DA0" w:rsidP="000A590B">
      <w:r>
        <w:t xml:space="preserve">A </w:t>
      </w:r>
      <w:proofErr w:type="gramStart"/>
      <w:r>
        <w:t>continuación</w:t>
      </w:r>
      <w:proofErr w:type="gramEnd"/>
      <w:r>
        <w:t xml:space="preserve"> vamos a calcular la proporción de muestras en las que 1 </w:t>
      </w:r>
      <w:r>
        <w:rPr>
          <w:rFonts w:cs="Calibri"/>
        </w:rPr>
        <w:t>≤</w:t>
      </w:r>
      <w:r>
        <w:t xml:space="preserve"> </w:t>
      </w:r>
      <m:oMath>
        <m:acc>
          <m:accPr>
            <m:chr m:val="̅"/>
            <m:ctrlPr>
              <w:rPr>
                <w:rFonts w:ascii="Cambria Math" w:hAnsi="Cambria Math"/>
                <w:i/>
              </w:rPr>
            </m:ctrlPr>
          </m:accPr>
          <m:e>
            <m:r>
              <w:rPr>
                <w:rFonts w:ascii="Cambria Math" w:hAnsi="Cambria Math"/>
              </w:rPr>
              <m:t>X</m:t>
            </m:r>
          </m:e>
        </m:acc>
      </m:oMath>
      <w:r>
        <w:t xml:space="preserve"> </w:t>
      </w:r>
      <w:r>
        <w:rPr>
          <w:rFonts w:cs="Calibri"/>
        </w:rPr>
        <w:t>≤</w:t>
      </w:r>
      <w:r>
        <w:t xml:space="preserve"> 1,2 y 1,4 </w:t>
      </w:r>
      <w:r>
        <w:rPr>
          <w:rFonts w:cs="Calibri"/>
        </w:rPr>
        <w:t>≤</w:t>
      </w:r>
      <w:r>
        <w:t xml:space="preserve"> S</w:t>
      </w:r>
      <w:r>
        <w:rPr>
          <w:vertAlign w:val="superscript"/>
        </w:rPr>
        <w:t>2</w:t>
      </w:r>
      <w:r>
        <w:t xml:space="preserve"> </w:t>
      </w:r>
      <w:r>
        <w:rPr>
          <w:rFonts w:cs="Calibri"/>
        </w:rPr>
        <w:t>≤</w:t>
      </w:r>
      <w:r>
        <w:t xml:space="preserve"> 2,0. En el primer caso obtenemos una proporción de 22,633%, mientras que en el segundo la proporción es de 36,2%. El producto de ambas es del 8,193%. </w:t>
      </w:r>
    </w:p>
    <w:p w:rsidR="003B4DA0" w:rsidRPr="003B4DA0" w:rsidRDefault="003B4DA0" w:rsidP="000A590B">
      <w:r>
        <w:t>Imponiendo las dos condiciones simultáneamente, obtenemos un 7,567</w:t>
      </w:r>
      <w:proofErr w:type="gramStart"/>
      <w:r>
        <w:t>% ,</w:t>
      </w:r>
      <w:proofErr w:type="gramEnd"/>
      <w:r>
        <w:t xml:space="preserve"> muy similar a la proporción del producto, por lo que podemos concluir que las variables son independientes.</w:t>
      </w:r>
    </w:p>
    <w:p w:rsidR="005C739B" w:rsidRPr="00E274BF" w:rsidRDefault="00E274BF" w:rsidP="0064209C">
      <w:pPr>
        <w:rPr>
          <w:rFonts w:ascii="Arial" w:hAnsi="Arial" w:cs="Arial"/>
          <w:color w:val="000000"/>
          <w:shd w:val="clear" w:color="auto" w:fill="FFFFFF"/>
        </w:rPr>
      </w:pP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 </w:instrText>
      </w:r>
      <w:r>
        <w:fldChar w:fldCharType="end"/>
      </w:r>
    </w:p>
    <w:sectPr w:rsidR="005C739B" w:rsidRPr="00E274BF" w:rsidSect="007A5B86">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0740F"/>
    <w:multiLevelType w:val="hybridMultilevel"/>
    <w:tmpl w:val="83361F78"/>
    <w:lvl w:ilvl="0" w:tplc="B2D40A18">
      <w:start w:val="1"/>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86"/>
    <w:rsid w:val="000A590B"/>
    <w:rsid w:val="00147415"/>
    <w:rsid w:val="00246DC5"/>
    <w:rsid w:val="003B4DA0"/>
    <w:rsid w:val="004B7717"/>
    <w:rsid w:val="005B57B9"/>
    <w:rsid w:val="005C739B"/>
    <w:rsid w:val="0064209C"/>
    <w:rsid w:val="006660AC"/>
    <w:rsid w:val="006F1DC4"/>
    <w:rsid w:val="0076461A"/>
    <w:rsid w:val="007A5B86"/>
    <w:rsid w:val="00827A7C"/>
    <w:rsid w:val="009E528C"/>
    <w:rsid w:val="00B13A78"/>
    <w:rsid w:val="00BB1E8E"/>
    <w:rsid w:val="00E274BF"/>
    <w:rsid w:val="00F17C86"/>
    <w:rsid w:val="00FA7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E88420"/>
  <w14:defaultImageDpi w14:val="0"/>
  <w15:docId w15:val="{19C0777B-7907-415C-A81C-CC4EA7EA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paragraph" w:styleId="Ttulo1">
    <w:name w:val="heading 1"/>
    <w:basedOn w:val="Normal"/>
    <w:next w:val="Normal"/>
    <w:link w:val="Ttulo1Car"/>
    <w:uiPriority w:val="9"/>
    <w:qFormat/>
    <w:rsid w:val="00827A7C"/>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827A7C"/>
    <w:pPr>
      <w:keepNext/>
      <w:spacing w:before="240" w:after="60"/>
      <w:outlineLvl w:val="1"/>
    </w:pPr>
    <w:rPr>
      <w:rFonts w:asciiTheme="majorHAnsi" w:eastAsiaTheme="majorEastAsia" w:hAnsiTheme="majorHAns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827A7C"/>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
    <w:locked/>
    <w:rsid w:val="00827A7C"/>
    <w:rPr>
      <w:rFonts w:asciiTheme="majorHAnsi" w:eastAsiaTheme="majorEastAsia" w:hAnsiTheme="majorHAnsi" w:cs="Times New Roman"/>
      <w:b/>
      <w:bCs/>
      <w:i/>
      <w:iCs/>
      <w:sz w:val="28"/>
      <w:szCs w:val="28"/>
    </w:rPr>
  </w:style>
  <w:style w:type="paragraph" w:styleId="Sinespaciado">
    <w:name w:val="No Spacing"/>
    <w:link w:val="SinespaciadoCar"/>
    <w:uiPriority w:val="1"/>
    <w:qFormat/>
    <w:rsid w:val="007A5B86"/>
    <w:rPr>
      <w:rFonts w:cs="Times New Roman"/>
      <w:sz w:val="22"/>
      <w:szCs w:val="22"/>
    </w:rPr>
  </w:style>
  <w:style w:type="character" w:customStyle="1" w:styleId="SinespaciadoCar">
    <w:name w:val="Sin espaciado Car"/>
    <w:link w:val="Sinespaciado"/>
    <w:uiPriority w:val="1"/>
    <w:locked/>
    <w:rsid w:val="007A5B86"/>
  </w:style>
  <w:style w:type="character" w:styleId="Textodelmarcadordeposicin">
    <w:name w:val="Placeholder Text"/>
    <w:basedOn w:val="Fuentedeprrafopredeter"/>
    <w:uiPriority w:val="99"/>
    <w:semiHidden/>
    <w:rsid w:val="006420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 Ignacio Gomez Garcia</cp:lastModifiedBy>
  <cp:revision>5</cp:revision>
  <dcterms:created xsi:type="dcterms:W3CDTF">2017-12-23T14:34:00Z</dcterms:created>
  <dcterms:modified xsi:type="dcterms:W3CDTF">2017-12-23T17:10:00Z</dcterms:modified>
</cp:coreProperties>
</file>