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Category Intelligence — Retail Product Performance EDA</w:t>
      </w:r>
    </w:p>
    <w:p>
      <w:pPr>
        <w:spacing w:after="60"/>
        <w:jc w:val="center"/>
      </w:pPr>
      <w:r>
        <w:rPr>
          <w:i/>
          <w:iCs/>
          <w:color w:val="555555"/>
          <w:sz w:val="22"/>
          <w:szCs w:val="22"/>
        </w:rPr>
        <w:t xml:space="preserve">Calibo AI Academy — Phase 1, Mini Use Case 01</w:t>
      </w:r>
    </w:p>
    <w:p>
      <w:pPr>
        <w:spacing w:after="200"/>
        <w:jc w:val="center"/>
      </w:pPr>
      <w:r>
        <w:rPr>
          <w:color w:val="777777"/>
          <w:sz w:val="20"/>
          <w:szCs w:val="20"/>
        </w:rPr>
        <w:t xml:space="preserve">Prepared by Varshitha  |  Dataset: Jan–Jun 2026 retail transactions</w:t>
      </w:r>
    </w:p>
    <w:p>
      <w:pPr>
        <w:pBdr>
          <w:bottom w:val="single" w:color="999999" w:sz="6"/>
        </w:pBdr>
        <w:spacing w:after="200"/>
      </w:pPr>
    </w:p>
    <w:p>
      <w:pPr>
        <w:pStyle w:val="Heading1"/>
        <w:spacing w:after="120" w:before="200"/>
      </w:pPr>
      <w:r>
        <w:t xml:space="preserve">Executive Summary</w:t>
      </w:r>
    </w:p>
    <w:p>
      <w:pPr>
        <w:spacing w:after="160"/>
      </w:pPr>
      <w:r>
        <w:rPr>
          <w:sz w:val="22"/>
          <w:szCs w:val="22"/>
        </w:rPr>
        <w:t xml:space="preserve">This analysis reviews six months of retail transaction data (January–June 2026, ~107,836 transactions) across five product categories to prepare the Category Manager for a quarterly supplier review. Electronics remains the largest category by revenue but is declining sharply, Apparel is the standout growth story, and current discounting is not producing larger transactions in return for the revenue it gives up.</w:t>
      </w:r>
    </w:p>
    <w:p>
      <w:pPr>
        <w:pStyle w:val="Heading1"/>
        <w:spacing w:after="120" w:before="200"/>
      </w:pPr>
      <w:r>
        <w:t xml:space="preserve">Three Key Findings</w:t>
      </w:r>
    </w:p>
    <w:p>
      <w:pPr>
        <w:pStyle w:val="ListParagraph"/>
        <w:numPr>
          <w:ilvl w:val="0"/>
          <w:numId w:val="1"/>
        </w:numPr>
        <w:spacing w:after="80"/>
      </w:pPr>
      <w:r>
        <w:rPr>
          <w:sz w:val="22"/>
          <w:szCs w:val="22"/>
        </w:rPr>
        <w:t xml:space="preserve">Electronics revenue fell approximately 35% month-over-month, from about ₹45.7M in January to about ₹29.7M in June, and its share of total chain revenue dropped from 54% to 43% over the same period.</w:t>
      </w:r>
    </w:p>
    <w:p>
      <w:pPr>
        <w:pStyle w:val="ListParagraph"/>
        <w:numPr>
          <w:ilvl w:val="0"/>
          <w:numId w:val="1"/>
        </w:numPr>
        <w:spacing w:after="80"/>
      </w:pPr>
      <w:r>
        <w:rPr>
          <w:sz w:val="22"/>
          <w:szCs w:val="22"/>
        </w:rPr>
        <w:t xml:space="preserve">Apparel grew approximately 34% over the same window — the only category with sustained growth from January through June 2026.</w:t>
      </w:r>
    </w:p>
    <w:p>
      <w:pPr>
        <w:pStyle w:val="ListParagraph"/>
        <w:numPr>
          <w:ilvl w:val="0"/>
          <w:numId w:val="1"/>
        </w:numPr>
        <w:spacing w:after="80"/>
      </w:pPr>
      <w:r>
        <w:rPr>
          <w:sz w:val="22"/>
          <w:szCs w:val="22"/>
        </w:rPr>
        <w:t xml:space="preserve">Average revenue per transaction fell steadily as discount depth increased, from about ₹4,686 at 0% discount to about ₹3,632 at the 20% discount bracket, while average units sold per transaction stayed essentially flat (~2.6 units) across every bracket.</w:t>
      </w:r>
    </w:p>
    <w:p>
      <w:pPr>
        <w:pStyle w:val="Heading1"/>
        <w:spacing w:after="120" w:before="200"/>
      </w:pPr>
      <w:r>
        <w:t xml:space="preserve">Category Recommendation</w:t>
      </w:r>
    </w:p>
    <w:p>
      <w:pPr>
        <w:spacing w:after="160"/>
      </w:pPr>
      <w:r>
        <w:rPr>
          <w:sz w:val="22"/>
          <w:szCs w:val="22"/>
        </w:rPr>
        <w:t xml:space="preserve">Apparel has the strongest case for increased supplier investment given its consistent growth trend. Electronics should be the primary focus of challenge in the supplier review: its ~35% revenue decline is the single largest driver of the chain's overall monthly revenue slowdown, and within the category, Smart TV and Tablet are the softest-performing products and a reasonable starting point for supplier discussion. The decline is spread fairly evenly across Electronics products rather than concentrated in one SKU, suggesting a category-level issue rather than a single failing product.</w:t>
      </w:r>
    </w:p>
    <w:p>
      <w:pPr>
        <w:pStyle w:val="Heading1"/>
        <w:spacing w:after="120" w:before="200"/>
      </w:pPr>
      <w:r>
        <w:t xml:space="preserve">Discount Insight</w:t>
      </w:r>
    </w:p>
    <w:p>
      <w:pPr>
        <w:spacing w:after="160"/>
      </w:pPr>
      <w:r>
        <w:rPr>
          <w:sz w:val="22"/>
          <w:szCs w:val="22"/>
        </w:rPr>
        <w:t xml:space="preserve">Deeper discounts are not generating proportionately larger transactions: revenue per transaction declines as the discount bracket increases while average units per transaction remain flat, indicating that discounting is reducing revenue collected without a matching increase in basket size. This is worth revisiting with suppliers who fund promotional discount campaigns.</w:t>
      </w:r>
    </w:p>
    <w:p>
      <w:pPr>
        <w:pStyle w:val="Heading1"/>
        <w:spacing w:after="120" w:before="200"/>
      </w:pPr>
      <w:r>
        <w:t xml:space="preserve">Limitation</w:t>
      </w:r>
    </w:p>
    <w:p>
      <w:pPr>
        <w:spacing w:after="160"/>
      </w:pPr>
      <w:r>
        <w:rPr>
          <w:sz w:val="22"/>
          <w:szCs w:val="22"/>
        </w:rPr>
        <w:t xml:space="preserve">The dataset contains revenue, price, and discount fields but no product cost or margin data. As a result, this analysis cannot measure true profitability or margin impact — including of the discount pattern above — only revenue effects. Product cost/margin data should be obtained before finalizing any final recommendation on discounting or category investment.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2026-09-16T17:04:47.460Z</dcterms:created>
  <dcterms:modified xsi:type="dcterms:W3CDTF">2026-09-16T17:04:47.467Z</dcterms:modified>
</cp:coreProperties>
</file>

<file path=docProps/custom.xml><?xml version="1.0" encoding="utf-8"?>
<Properties xmlns="http://schemas.openxmlformats.org/officeDocument/2006/custom-properties" xmlns:vt="http://schemas.openxmlformats.org/officeDocument/2006/docPropsVTypes"/>
</file>