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65C0"/>
          <w:sz w:val="22"/>
        </w:rPr>
        <w:t>CALIBO AI ACADEMY</w:t>
      </w:r>
    </w:p>
    <w:p>
      <w:pPr>
        <w:jc w:val="center"/>
      </w:pPr>
      <w:r>
        <w:rPr>
          <w:b/>
          <w:sz w:val="36"/>
        </w:rPr>
        <w:t>Batch 6 — Insight Summary</w:t>
      </w:r>
    </w:p>
    <w:p>
      <w:pPr>
        <w:jc w:val="center"/>
      </w:pPr>
      <w:r>
        <w:rPr>
          <w:i/>
          <w:sz w:val="18"/>
        </w:rPr>
        <w:t>Calibo AI Academy | Phase 1 — Mini Use Case 01 | Batch 6</w:t>
      </w:r>
    </w:p>
    <w:p>
      <w:pPr>
        <w:pStyle w:val="Heading1"/>
      </w:pPr>
      <w:r>
        <w:t>Category Intelligence — Retail Product Performance EDA</w:t>
      </w:r>
    </w:p>
    <w:p>
      <w:r>
        <w:rPr>
          <w:b/>
        </w:rPr>
        <w:t xml:space="preserve">Findings. </w:t>
      </w:r>
      <w:r>
        <w:t>The six-month analysis shows a clear contrast between categories. Electronics had the largest monthly revenue decline, falling approximately 35.0% from January to June 2026, while Apparel grew approximately 34.1% and was the only category with sustained growth. Grocery was the most consistent category. At product level, revenue was broadly distributed across products within categories, indicating that the Electronics decline is not limited to one weak SKU.</w:t>
      </w:r>
    </w:p>
    <w:p>
      <w:r>
        <w:rPr>
          <w:b/>
        </w:rPr>
        <w:t xml:space="preserve">Discount insight. </w:t>
      </w:r>
      <w:r>
        <w:t>Average revenue per transaction was highest at 0% discount at about ₹4,686 and fell to about ₹3,632 at the highest observed 20% discount bracket, a decrease of about 22.5%. Average units sold remained nearly flat at roughly 2.57–2.60. The 25%+ bracket had no transactions. Because the dataset has no product cost, the analysis measures revenue impact rather than true margin impact.</w:t>
      </w:r>
    </w:p>
    <w:p>
      <w:r>
        <w:rPr>
          <w:b/>
        </w:rPr>
        <w:t xml:space="preserve">Timing insight. </w:t>
      </w:r>
      <w:r>
        <w:t>Saturday had the highest average revenue per transaction at about ₹4,420, while Tuesday was lowest at about ₹4,018. January was the strongest month with approximately ₹84.77 million in revenue, and June was the weakest with approximately ₹69.28 million. These patterns can guide the timing of promotions.</w:t>
      </w:r>
    </w:p>
    <w:p>
      <w:r>
        <w:rPr>
          <w:b/>
        </w:rPr>
        <w:t xml:space="preserve">Recommendation. </w:t>
      </w:r>
      <w:r>
        <w:t>The Category Manager should use Apparel's sustained growth as a basis for discussing additional supplier investment, while challenging the Electronics decline with suppliers. Discount depth should be reviewed because higher discounts did not materially increase units sold. Promotional activity can be planned around stronger weekend demand.</w:t>
      </w:r>
    </w:p>
    <w:p>
      <w:r>
        <w:rPr>
          <w:b/>
        </w:rPr>
        <w:t xml:space="preserve">Limitation. </w:t>
      </w:r>
      <w:r>
        <w:t>The dataset covers only six months, has no product cost or margin information, and has no supplier-level identifiers. Therefore, profitability, long-term seasonality, and direct supplier performance cannot be concluded from this dataset alone.</w:t>
      </w:r>
    </w:p>
    <w:p>
      <w:pPr>
        <w:pStyle w:val="Heading1"/>
      </w:pPr>
      <w:r>
        <w:t>Section Ownership</w:t>
      </w:r>
    </w:p>
    <w:tbl>
      <w:tblPr>
        <w:tblStyle w:val="TableGrid"/>
        <w:tblW w:type="auto" w:w="0"/>
        <w:tblLook w:firstColumn="1" w:firstRow="1" w:lastColumn="0" w:lastRow="0" w:noHBand="0" w:noVBand="1" w:val="04A0"/>
      </w:tblPr>
      <w:tblGrid>
        <w:gridCol w:w="5112"/>
        <w:gridCol w:w="5112"/>
      </w:tblGrid>
      <w:tr>
        <w:tc>
          <w:tcPr>
            <w:tcW w:type="dxa" w:w="5112"/>
            <w:shd w:fill="1565C0"/>
          </w:tcPr>
          <w:p>
            <w:r>
              <w:rPr>
                <w:b/>
                <w:color w:val="FFFFFF"/>
              </w:rPr>
              <w:t>Team Member</w:t>
            </w:r>
          </w:p>
        </w:tc>
        <w:tc>
          <w:tcPr>
            <w:tcW w:type="dxa" w:w="5112"/>
            <w:shd w:fill="1565C0"/>
          </w:tcPr>
          <w:p>
            <w:r>
              <w:rPr>
                <w:b/>
                <w:color w:val="FFFFFF"/>
              </w:rPr>
              <w:t>Owned Section</w:t>
            </w:r>
          </w:p>
        </w:tc>
      </w:tr>
      <w:tr>
        <w:tc>
          <w:tcPr>
            <w:tcW w:type="dxa" w:w="5112"/>
          </w:tcPr>
          <w:p>
            <w:r>
              <w:t>Nagothu Varshitha</w:t>
            </w:r>
          </w:p>
        </w:tc>
        <w:tc>
          <w:tcPr>
            <w:tcW w:type="dxa" w:w="5112"/>
          </w:tcPr>
          <w:p>
            <w:r>
              <w:t>Step 1 — Load &amp; Inspect; Step 4 — Discount Effectiveness</w:t>
            </w:r>
          </w:p>
        </w:tc>
      </w:tr>
      <w:tr>
        <w:tc>
          <w:tcPr>
            <w:tcW w:type="dxa" w:w="5112"/>
          </w:tcPr>
          <w:p>
            <w:r>
              <w:t>Meka Chandu</w:t>
            </w:r>
          </w:p>
        </w:tc>
        <w:tc>
          <w:tcPr>
            <w:tcW w:type="dxa" w:w="5112"/>
          </w:tcPr>
          <w:p>
            <w:r>
              <w:t>Step 2 — Category Revenue Trend</w:t>
            </w:r>
          </w:p>
        </w:tc>
      </w:tr>
      <w:tr>
        <w:tc>
          <w:tcPr>
            <w:tcW w:type="dxa" w:w="5112"/>
          </w:tcPr>
          <w:p>
            <w:r>
              <w:t>Manda Lohitha</w:t>
            </w:r>
          </w:p>
        </w:tc>
        <w:tc>
          <w:tcPr>
            <w:tcW w:type="dxa" w:w="5112"/>
          </w:tcPr>
          <w:p>
            <w:r>
              <w:t>Step 3 — Top &amp; Bottom Products</w:t>
            </w:r>
          </w:p>
        </w:tc>
      </w:tr>
      <w:tr>
        <w:tc>
          <w:tcPr>
            <w:tcW w:type="dxa" w:w="5112"/>
          </w:tcPr>
          <w:p>
            <w:r>
              <w:t>Buradakavi Durga Sri Varshini</w:t>
            </w:r>
          </w:p>
        </w:tc>
        <w:tc>
          <w:tcPr>
            <w:tcW w:type="dxa" w:w="5112"/>
          </w:tcPr>
          <w:p>
            <w:r>
              <w:t>Step 5 — Day-of-Week / Monthly Patterns</w:t>
            </w:r>
          </w:p>
        </w:tc>
      </w:tr>
      <w:tr>
        <w:tc>
          <w:tcPr>
            <w:tcW w:type="dxa" w:w="5112"/>
          </w:tcPr>
          <w:p>
            <w:r>
              <w:t>All members</w:t>
            </w:r>
          </w:p>
        </w:tc>
        <w:tc>
          <w:tcPr>
            <w:tcW w:type="dxa" w:w="5112"/>
          </w:tcPr>
          <w:p>
            <w:r>
              <w:t>Step 6 — Category Manager Briefing</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