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565C0"/>
          <w:sz w:val="22"/>
        </w:rPr>
        <w:t>CALIBO AI ACADEMY</w:t>
      </w:r>
    </w:p>
    <w:p>
      <w:pPr>
        <w:jc w:val="center"/>
      </w:pPr>
      <w:r>
        <w:rPr>
          <w:b/>
          <w:sz w:val="36"/>
        </w:rPr>
        <w:t>Batch 6 — Total Project Summary</w:t>
      </w:r>
    </w:p>
    <w:p>
      <w:pPr>
        <w:jc w:val="center"/>
      </w:pPr>
      <w:r>
        <w:rPr>
          <w:i/>
          <w:sz w:val="18"/>
        </w:rPr>
        <w:t>Calibo AI Academy | Phase 1 — Mini Use Case 01 | Batch 6</w:t>
      </w:r>
    </w:p>
    <w:p>
      <w:pPr>
        <w:pStyle w:val="Heading1"/>
      </w:pPr>
      <w:r>
        <w:t>Category Intelligence — Retail Product Performance EDA</w:t>
      </w:r>
    </w:p>
    <w:p>
      <w:r>
        <w:t>This mini use case analyses six months of retail transaction data from January to June 2026 to support a Category Manager preparing for a supplier review. The business goal is to identify category growth or decline, understand product-level performance, evaluate discount effectiveness, and identify useful sales-timing patterns.</w:t>
      </w:r>
    </w:p>
    <w:p>
      <w:pPr>
        <w:pStyle w:val="Heading1"/>
      </w:pPr>
      <w:r>
        <w:t>Team and Ownership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565C0"/>
          </w:tcPr>
          <w:p>
            <w:r>
              <w:rPr>
                <w:b/>
                <w:color w:val="FFFFFF"/>
              </w:rPr>
              <w:t>Team Member</w:t>
            </w:r>
          </w:p>
        </w:tc>
        <w:tc>
          <w:tcPr>
            <w:tcW w:type="dxa" w:w="5112"/>
            <w:shd w:fill="1565C0"/>
          </w:tcPr>
          <w:p>
            <w:r>
              <w:rPr>
                <w:b/>
                <w:color w:val="FFFFFF"/>
              </w:rPr>
              <w:t>Role</w:t>
            </w:r>
          </w:p>
        </w:tc>
      </w:tr>
      <w:tr>
        <w:tc>
          <w:tcPr>
            <w:tcW w:type="dxa" w:w="5112"/>
          </w:tcPr>
          <w:p>
            <w:r>
              <w:t>Nagothu Varshitha</w:t>
            </w:r>
          </w:p>
        </w:tc>
        <w:tc>
          <w:tcPr>
            <w:tcW w:type="dxa" w:w="5112"/>
          </w:tcPr>
          <w:p>
            <w:r>
              <w:t>Data Analyst – Load &amp; Inspect and Discount Effectiveness</w:t>
            </w:r>
          </w:p>
        </w:tc>
      </w:tr>
      <w:tr>
        <w:tc>
          <w:tcPr>
            <w:tcW w:type="dxa" w:w="5112"/>
          </w:tcPr>
          <w:p>
            <w:r>
              <w:t>Meka Chandu</w:t>
            </w:r>
          </w:p>
        </w:tc>
        <w:tc>
          <w:tcPr>
            <w:tcW w:type="dxa" w:w="5112"/>
          </w:tcPr>
          <w:p>
            <w:r>
              <w:t>Category Revenue Analyst</w:t>
            </w:r>
          </w:p>
        </w:tc>
      </w:tr>
      <w:tr>
        <w:tc>
          <w:tcPr>
            <w:tcW w:type="dxa" w:w="5112"/>
          </w:tcPr>
          <w:p>
            <w:r>
              <w:t>Manda Lohitha</w:t>
            </w:r>
          </w:p>
        </w:tc>
        <w:tc>
          <w:tcPr>
            <w:tcW w:type="dxa" w:w="5112"/>
          </w:tcPr>
          <w:p>
            <w:r>
              <w:t>Product Performance Analyst</w:t>
            </w:r>
          </w:p>
        </w:tc>
      </w:tr>
      <w:tr>
        <w:tc>
          <w:tcPr>
            <w:tcW w:type="dxa" w:w="5112"/>
          </w:tcPr>
          <w:p>
            <w:r>
              <w:t>Buradakavi Durga Sri Varshini</w:t>
            </w:r>
          </w:p>
        </w:tc>
        <w:tc>
          <w:tcPr>
            <w:tcW w:type="dxa" w:w="5112"/>
          </w:tcPr>
          <w:p>
            <w:r>
              <w:t>Sales Pattern Analyst</w:t>
            </w:r>
          </w:p>
        </w:tc>
      </w:tr>
    </w:tbl>
    <w:p>
      <w:pPr>
        <w:pStyle w:val="Heading1"/>
      </w:pPr>
      <w:r>
        <w:t>Project Flow</w:t>
      </w:r>
    </w:p>
    <w:p>
      <w:pPr>
        <w:pStyle w:val="ListBullet"/>
        <w:spacing w:after="40"/>
      </w:pPr>
      <w:r>
        <w:t>Step 1 — Load &amp; Inspect: validate structure, completeness, duplicates, dates, products, and categories.</w:t>
      </w:r>
    </w:p>
    <w:p>
      <w:pPr>
        <w:pStyle w:val="ListBullet"/>
        <w:spacing w:after="40"/>
      </w:pPr>
      <w:r>
        <w:t>Step 2 — Category Revenue Trend: compare monthly revenue across all five categories.</w:t>
      </w:r>
    </w:p>
    <w:p>
      <w:pPr>
        <w:pStyle w:val="ListBullet"/>
        <w:spacing w:after="40"/>
      </w:pPr>
      <w:r>
        <w:t>Step 3 — Top &amp; Bottom Products: identify the top two and bottom two products within each category.</w:t>
      </w:r>
    </w:p>
    <w:p>
      <w:pPr>
        <w:pStyle w:val="ListBullet"/>
        <w:spacing w:after="40"/>
      </w:pPr>
      <w:r>
        <w:t>Step 4 — Discount Effectiveness: compare average revenue per transaction and units sold by discount bracket.</w:t>
      </w:r>
    </w:p>
    <w:p>
      <w:pPr>
        <w:pStyle w:val="ListBullet"/>
        <w:spacing w:after="40"/>
      </w:pPr>
      <w:r>
        <w:t>Step 5 — Day-of-Week / Monthly Patterns: identify strong and weak selling periods.</w:t>
      </w:r>
    </w:p>
    <w:p>
      <w:pPr>
        <w:pStyle w:val="ListBullet"/>
        <w:spacing w:after="40"/>
      </w:pPr>
      <w:r>
        <w:t>Step 6 — Category Manager Briefing: combine the findings into business actions.</w:t>
      </w:r>
    </w:p>
    <w:p>
      <w:pPr>
        <w:pStyle w:val="Heading1"/>
      </w:pPr>
      <w:r>
        <w:t>Key Findings</w:t>
      </w:r>
    </w:p>
    <w:p>
      <w:pPr>
        <w:pStyle w:val="ListBullet"/>
        <w:spacing w:after="40"/>
      </w:pPr>
      <w:r>
        <w:t>Electronics had the largest January-to-June monthly revenue decline at approximately 35.0% and generated about ₹226.53 million over six months.</w:t>
      </w:r>
    </w:p>
    <w:p>
      <w:pPr>
        <w:pStyle w:val="ListBullet"/>
        <w:spacing w:after="40"/>
      </w:pPr>
      <w:r>
        <w:t>Apparel showed approximately 34.1% growth from January to June and was the only category with sustained growth across the period.</w:t>
      </w:r>
    </w:p>
    <w:p>
      <w:pPr>
        <w:pStyle w:val="ListBullet"/>
        <w:spacing w:after="40"/>
      </w:pPr>
      <w:r>
        <w:t>Grocery was the most consistent category based on the lowest coefficient of variation across the six months.</w:t>
      </w:r>
    </w:p>
    <w:p>
      <w:pPr>
        <w:pStyle w:val="ListBullet"/>
        <w:spacing w:after="40"/>
      </w:pPr>
      <w:r>
        <w:t>Average revenue per transaction fell from about ₹4,686 at 0% discount to about ₹3,632 at the highest observed 20% bracket, while average units sold stayed around 2.57–2.60.</w:t>
      </w:r>
    </w:p>
    <w:p>
      <w:pPr>
        <w:pStyle w:val="ListBullet"/>
        <w:spacing w:after="40"/>
      </w:pPr>
      <w:r>
        <w:t>Saturday had the highest average revenue per transaction at about ₹4,420, while Tuesday was lowest at about ₹4,018. January was the strongest month and June was the weakest.</w:t>
      </w:r>
    </w:p>
    <w:p>
      <w:pPr>
        <w:pStyle w:val="Heading1"/>
      </w:pPr>
      <w:r>
        <w:t>Business Recommendation</w:t>
      </w:r>
    </w:p>
    <w:p>
      <w:r>
        <w:t>Use the analysis to support stronger supplier discussions around Apparel growth and the Electronics decline. Review deeper discounting with suppliers because higher discounts did not produce a meaningful increase in units sold. Time promotional activity closer to the stronger weekend demand pattern. Before making a profitability or ROI conclusion, add product cost and margin data.</w:t>
      </w:r>
    </w:p>
    <w:p>
      <w:pPr>
        <w:pStyle w:val="Heading1"/>
      </w:pPr>
      <w:r>
        <w:t>Limitations</w:t>
      </w:r>
    </w:p>
    <w:p>
      <w:pPr>
        <w:pStyle w:val="ListBullet"/>
        <w:spacing w:after="40"/>
      </w:pPr>
      <w:r>
        <w:t>The dataset does not contain product cost or margin, so profitability cannot be measured directly.</w:t>
      </w:r>
    </w:p>
    <w:p>
      <w:pPr>
        <w:pStyle w:val="ListBullet"/>
        <w:spacing w:after="40"/>
      </w:pPr>
      <w:r>
        <w:t>The analysis covers only January–June 2026 and therefore cannot capture longer-term seasonal effects.</w:t>
      </w:r>
    </w:p>
    <w:p>
      <w:pPr>
        <w:pStyle w:val="ListBullet"/>
        <w:spacing w:after="40"/>
      </w:pPr>
      <w:r>
        <w:t>Supplier-level performance is not directly available; supplier conclusions are inferred from product/category performance.</w:t>
      </w:r>
    </w:p>
    <w:p>
      <w:pPr>
        <w:pStyle w:val="Heading1"/>
      </w:pPr>
      <w:r>
        <w:t>Deliverables</w:t>
      </w:r>
    </w:p>
    <w:p>
      <w:pPr>
        <w:pStyle w:val="ListBullet"/>
        <w:spacing w:after="40"/>
      </w:pPr>
      <w:r>
        <w:t>Shared Jupyter Notebook with all six steps and business explanations.</w:t>
      </w:r>
    </w:p>
    <w:p>
      <w:pPr>
        <w:pStyle w:val="ListBullet"/>
        <w:spacing w:after="40"/>
      </w:pPr>
      <w:r>
        <w:t>CBIM Problem Canvas included at the beginning of the notebook.</w:t>
      </w:r>
    </w:p>
    <w:p>
      <w:pPr>
        <w:pStyle w:val="ListBullet"/>
        <w:spacing w:after="40"/>
      </w:pPr>
      <w:r>
        <w:t>One-page Insight Summary.</w:t>
      </w:r>
    </w:p>
    <w:p>
      <w:pPr>
        <w:pStyle w:val="ListBullet"/>
        <w:spacing w:after="40"/>
      </w:pPr>
      <w:r>
        <w:t>One individual 150-word reflection for each team member.</w:t>
      </w:r>
    </w:p>
    <w:p>
      <w:pPr>
        <w:pStyle w:val="ListBullet"/>
        <w:spacing w:after="40"/>
      </w:pPr>
      <w:r>
        <w:t>Retail sales dataset included with the submission.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