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INSIGHTS</w:t>
      </w:r>
    </w:p>
    <w:p>
      <w:pPr>
        <w:jc w:val="center"/>
      </w:pPr>
      <w:r>
        <w:rPr>
          <w:b/>
          <w:sz w:val="24"/>
        </w:rPr>
        <w:t>Sales Performance Analysis — Power BI Assignment</w:t>
      </w:r>
    </w:p>
    <w:p>
      <w:pPr>
        <w:jc w:val="center"/>
      </w:pPr>
      <w:r>
        <w:rPr>
          <w:i/>
          <w:sz w:val="19"/>
        </w:rPr>
        <w:t>Prepared from the completed Power BI dashboard</w:t>
      </w:r>
    </w:p>
    <w:p/>
    <w:p>
      <w:pPr>
        <w:pStyle w:val="Heading1"/>
      </w:pPr>
      <w:r>
        <w:t>Executive Summary</w:t>
      </w:r>
    </w:p>
    <w:p>
      <w:r>
        <w:t xml:space="preserve">The Power BI report provides an interactive view of sales performance across time, products, customers, locations, salespeople, and budget performance. </w:t>
      </w:r>
      <w:r>
        <w:t>The dashboard reports total sales of 26M, total orders of 11K, total quantity of 21K, total profit of 8M, and a profit margin of 32.52%.</w:t>
      </w:r>
    </w:p>
    <w:p>
      <w:pPr>
        <w:pStyle w:val="Heading1"/>
      </w:pPr>
      <w:r>
        <w:t>1. Top 5 Findings</w:t>
      </w:r>
    </w:p>
    <w:p>
      <w:pPr>
        <w:pStyle w:val="ListBullet"/>
        <w:spacing w:after="80"/>
      </w:pPr>
      <w:r>
        <w:t>Strong overall sales performance: The dashboard reports Total Sales of 26M and Total Orders of 11K, with 21K units/quantity sold. This indicates substantial overall sales activity in the analyzed dataset.</w:t>
      </w:r>
    </w:p>
    <w:p>
      <w:pPr>
        <w:pStyle w:val="ListBullet"/>
        <w:spacing w:after="80"/>
      </w:pPr>
      <w:r>
        <w:t>Healthy reported profitability: Total Profit is shown as 8M and Profit Margin is 32.52%, indicating that a significant portion of reported sales is retained as profit.</w:t>
      </w:r>
    </w:p>
    <w:p>
      <w:pPr>
        <w:pStyle w:val="ListBullet"/>
        <w:spacing w:after="80"/>
      </w:pPr>
      <w:r>
        <w:t>Large year-over-year growth: The dashboard reports YoY Growth of 76.58%, showing a substantial increase relative to the comparison period used by the DAX measure.</w:t>
      </w:r>
    </w:p>
    <w:p>
      <w:pPr>
        <w:pStyle w:val="ListBullet"/>
        <w:spacing w:after="80"/>
      </w:pPr>
      <w:r>
        <w:t>Sales vary significantly across the year: The monthly sales trend starts near 2.9M in January–February, drops to roughly 1.9M around April, and then fluctuates through the remaining months. The pattern indicates meaningful seasonality or changes in monthly demand.</w:t>
      </w:r>
    </w:p>
    <w:p>
      <w:pPr>
        <w:pStyle w:val="ListBullet"/>
        <w:spacing w:after="80"/>
      </w:pPr>
      <w:r>
        <w:t>Sales are geographically concentrated: The geographic analysis shows California as the reported state and location-level sales are concentrated within the displayed California locations. This indicates limited geographic diversification in the current dataset.</w:t>
      </w:r>
    </w:p>
    <w:p>
      <w:pPr>
        <w:pStyle w:val="Heading1"/>
      </w:pPr>
      <w:r>
        <w:t>2. Top 5 Business Problems Identified</w:t>
      </w:r>
    </w:p>
    <w:p>
      <w:pPr>
        <w:pStyle w:val="ListBullet"/>
        <w:spacing w:after="80"/>
      </w:pPr>
      <w:r>
        <w:t>Budget baseline appears inconsistent: Actual Sales are 26M against a reported Budget of 4M, producing a Budget Variance of 21M and Budget Achievement of 605.99%. Such a large gap should be validated to ensure the budget is at the correct business and time granularity.</w:t>
      </w:r>
    </w:p>
    <w:p>
      <w:pPr>
        <w:pStyle w:val="ListBullet"/>
        <w:spacing w:after="80"/>
      </w:pPr>
      <w:r>
        <w:t>Monthly sales decline after the opening months: The sales trend falls sharply from the January–February level to around April and remains lower for much of the year. The causes of this decline should be investigated.</w:t>
      </w:r>
    </w:p>
    <w:p>
      <w:pPr>
        <w:pStyle w:val="ListBullet"/>
        <w:spacing w:after="80"/>
      </w:pPr>
      <w:r>
        <w:t>Low sales level in 2023 compared with earlier years: The yearly chart shows 2021 and 2022 at around 11M each, while 2023 is substantially lower at roughly 2.5M. Because the dashboard also uses YTD measures, the difference may partly reflect incomplete-year coverage and should be checked before drawing a final conclusion.</w:t>
      </w:r>
    </w:p>
    <w:p>
      <w:pPr>
        <w:pStyle w:val="ListBullet"/>
        <w:spacing w:after="80"/>
      </w:pPr>
      <w:r>
        <w:t>Geographic concentration risk: The geographic page reports California as the state represented in the dataset. Dependence on one state limits the ability to assess or benefit from broader geographic markets.</w:t>
      </w:r>
    </w:p>
    <w:p>
      <w:pPr>
        <w:pStyle w:val="ListBullet"/>
        <w:spacing w:after="80"/>
      </w:pPr>
      <w:r>
        <w:t>Limited differentiation visible across salesperson metrics: Salesperson charts show very similar values across many salespeople for sales, orders, quantity, and profit. This should be validated against the underlying data to confirm that salesperson-level allocation and relationships are working as intended.</w:t>
      </w:r>
    </w:p>
    <w:p>
      <w:pPr>
        <w:pStyle w:val="Heading1"/>
      </w:pPr>
      <w:r>
        <w:t>3. Top 5 Recommendations</w:t>
      </w:r>
    </w:p>
    <w:p>
      <w:pPr>
        <w:pStyle w:val="ListBullet"/>
        <w:spacing w:after="80"/>
      </w:pPr>
      <w:r>
        <w:t>Validate and reset the budget baseline: Review the budget source, period, granularity, and relationships. Reconcile the 4M budget against the 26M actual sales before using Budget Achievement or Variance as a management KPI.</w:t>
      </w:r>
    </w:p>
    <w:p>
      <w:pPr>
        <w:pStyle w:val="ListBullet"/>
        <w:spacing w:after="80"/>
      </w:pPr>
      <w:r>
        <w:t>Investigate the monthly sales drop: Analyze the April decline and subsequent fluctuations by product, customer, location, and salesperson. Identify whether the pattern is caused by seasonality, demand changes, stock availability, or data coverage.</w:t>
      </w:r>
    </w:p>
    <w:p>
      <w:pPr>
        <w:pStyle w:val="ListBullet"/>
        <w:spacing w:after="80"/>
      </w:pPr>
      <w:r>
        <w:t>Monitor year-level and YTD performance separately: Use the Year slicer and YTD Sales together, and clearly distinguish completed years from the current/incomplete year. This avoids interpreting partial-year results as full-year performance.</w:t>
      </w:r>
    </w:p>
    <w:p>
      <w:pPr>
        <w:pStyle w:val="ListBullet"/>
        <w:spacing w:after="80"/>
      </w:pPr>
      <w:r>
        <w:t>Diversify geographic sales: Evaluate opportunities outside the currently represented California market. Compare demand and profitability by location before expanding into new regions.</w:t>
      </w:r>
    </w:p>
    <w:p>
      <w:pPr>
        <w:pStyle w:val="ListBullet"/>
        <w:spacing w:after="80"/>
      </w:pPr>
      <w:r>
        <w:t>Strengthen product, customer, and salesperson performance reviews: Use the interactive Product Name, Customer Name, and Salesperson Name filters to identify high- and low-performing segments. Prioritize actions around profitable products, valuable customers, and verified salesperson performance.</w:t>
      </w:r>
    </w:p>
    <w:p>
      <w:pPr>
        <w:pStyle w:val="Heading1"/>
      </w:pPr>
      <w:r>
        <w:t>4. Key Metrics Referenced</w:t>
      </w:r>
    </w:p>
    <w:tbl>
      <w:tblPr>
        <w:tblStyle w:val="TableGrid"/>
        <w:tblW w:type="auto" w:w="0"/>
        <w:tblLook w:firstColumn="1" w:firstRow="1" w:lastColumn="0" w:lastRow="0" w:noHBand="0" w:noVBand="1" w:val="04A0"/>
      </w:tblPr>
      <w:tblGrid>
        <w:gridCol w:w="5040"/>
        <w:gridCol w:w="5040"/>
      </w:tblGrid>
      <w:tr>
        <w:tc>
          <w:tcPr>
            <w:tcW w:type="dxa" w:w="5040"/>
            <w:shd w:fill="F2D9E6"/>
          </w:tcPr>
          <w:p>
            <w:r>
              <w:t>Dashboard Metric</w:t>
            </w:r>
          </w:p>
        </w:tc>
        <w:tc>
          <w:tcPr>
            <w:tcW w:type="dxa" w:w="5040"/>
            <w:shd w:fill="F2D9E6"/>
          </w:tcPr>
          <w:p>
            <w:r>
              <w:t>Reported Value</w:t>
            </w:r>
          </w:p>
        </w:tc>
      </w:tr>
      <w:tr>
        <w:tc>
          <w:tcPr>
            <w:tcW w:type="dxa" w:w="5040"/>
          </w:tcPr>
          <w:p>
            <w:r>
              <w:t>Total Sales</w:t>
            </w:r>
          </w:p>
        </w:tc>
        <w:tc>
          <w:tcPr>
            <w:tcW w:type="dxa" w:w="5040"/>
          </w:tcPr>
          <w:p>
            <w:r>
              <w:t>26M</w:t>
            </w:r>
          </w:p>
        </w:tc>
      </w:tr>
      <w:tr>
        <w:tc>
          <w:tcPr>
            <w:tcW w:type="dxa" w:w="5040"/>
          </w:tcPr>
          <w:p>
            <w:r>
              <w:t>Total Orders</w:t>
            </w:r>
          </w:p>
        </w:tc>
        <w:tc>
          <w:tcPr>
            <w:tcW w:type="dxa" w:w="5040"/>
          </w:tcPr>
          <w:p>
            <w:r>
              <w:t>11K</w:t>
            </w:r>
          </w:p>
        </w:tc>
      </w:tr>
      <w:tr>
        <w:tc>
          <w:tcPr>
            <w:tcW w:type="dxa" w:w="5040"/>
          </w:tcPr>
          <w:p>
            <w:r>
              <w:t>Total Quantity</w:t>
            </w:r>
          </w:p>
        </w:tc>
        <w:tc>
          <w:tcPr>
            <w:tcW w:type="dxa" w:w="5040"/>
          </w:tcPr>
          <w:p>
            <w:r>
              <w:t>21K</w:t>
            </w:r>
          </w:p>
        </w:tc>
      </w:tr>
      <w:tr>
        <w:tc>
          <w:tcPr>
            <w:tcW w:type="dxa" w:w="5040"/>
          </w:tcPr>
          <w:p>
            <w:r>
              <w:t>Average Order Value</w:t>
            </w:r>
          </w:p>
        </w:tc>
        <w:tc>
          <w:tcPr>
            <w:tcW w:type="dxa" w:w="5040"/>
          </w:tcPr>
          <w:p>
            <w:r>
              <w:t>2.36K</w:t>
            </w:r>
          </w:p>
        </w:tc>
      </w:tr>
      <w:tr>
        <w:tc>
          <w:tcPr>
            <w:tcW w:type="dxa" w:w="5040"/>
          </w:tcPr>
          <w:p>
            <w:r>
              <w:t>Total Profit</w:t>
            </w:r>
          </w:p>
        </w:tc>
        <w:tc>
          <w:tcPr>
            <w:tcW w:type="dxa" w:w="5040"/>
          </w:tcPr>
          <w:p>
            <w:r>
              <w:t>8M</w:t>
            </w:r>
          </w:p>
        </w:tc>
      </w:tr>
      <w:tr>
        <w:tc>
          <w:tcPr>
            <w:tcW w:type="dxa" w:w="5040"/>
          </w:tcPr>
          <w:p>
            <w:r>
              <w:t>Profit Margin</w:t>
            </w:r>
          </w:p>
        </w:tc>
        <w:tc>
          <w:tcPr>
            <w:tcW w:type="dxa" w:w="5040"/>
          </w:tcPr>
          <w:p>
            <w:r>
              <w:t>32.52%</w:t>
            </w:r>
          </w:p>
        </w:tc>
      </w:tr>
      <w:tr>
        <w:tc>
          <w:tcPr>
            <w:tcW w:type="dxa" w:w="5040"/>
          </w:tcPr>
          <w:p>
            <w:r>
              <w:t>YoY Growth</w:t>
            </w:r>
          </w:p>
        </w:tc>
        <w:tc>
          <w:tcPr>
            <w:tcW w:type="dxa" w:w="5040"/>
          </w:tcPr>
          <w:p>
            <w:r>
              <w:t>76.58%</w:t>
            </w:r>
          </w:p>
        </w:tc>
      </w:tr>
      <w:tr>
        <w:tc>
          <w:tcPr>
            <w:tcW w:type="dxa" w:w="5040"/>
          </w:tcPr>
          <w:p>
            <w:r>
              <w:t>YTD Sales</w:t>
            </w:r>
          </w:p>
        </w:tc>
        <w:tc>
          <w:tcPr>
            <w:tcW w:type="dxa" w:w="5040"/>
          </w:tcPr>
          <w:p>
            <w:r>
              <w:t>2M</w:t>
            </w:r>
          </w:p>
        </w:tc>
      </w:tr>
      <w:tr>
        <w:tc>
          <w:tcPr>
            <w:tcW w:type="dxa" w:w="5040"/>
          </w:tcPr>
          <w:p>
            <w:r>
              <w:t>Budget</w:t>
            </w:r>
          </w:p>
        </w:tc>
        <w:tc>
          <w:tcPr>
            <w:tcW w:type="dxa" w:w="5040"/>
          </w:tcPr>
          <w:p>
            <w:r>
              <w:t>4M</w:t>
            </w:r>
          </w:p>
        </w:tc>
      </w:tr>
      <w:tr>
        <w:tc>
          <w:tcPr>
            <w:tcW w:type="dxa" w:w="5040"/>
          </w:tcPr>
          <w:p>
            <w:r>
              <w:t>Actual Sales</w:t>
            </w:r>
          </w:p>
        </w:tc>
        <w:tc>
          <w:tcPr>
            <w:tcW w:type="dxa" w:w="5040"/>
          </w:tcPr>
          <w:p>
            <w:r>
              <w:t>26M</w:t>
            </w:r>
          </w:p>
        </w:tc>
      </w:tr>
      <w:tr>
        <w:tc>
          <w:tcPr>
            <w:tcW w:type="dxa" w:w="5040"/>
          </w:tcPr>
          <w:p>
            <w:r>
              <w:t>Budget Variance</w:t>
            </w:r>
          </w:p>
        </w:tc>
        <w:tc>
          <w:tcPr>
            <w:tcW w:type="dxa" w:w="5040"/>
          </w:tcPr>
          <w:p>
            <w:r>
              <w:t>21M</w:t>
            </w:r>
          </w:p>
        </w:tc>
      </w:tr>
      <w:tr>
        <w:tc>
          <w:tcPr>
            <w:tcW w:type="dxa" w:w="5040"/>
          </w:tcPr>
          <w:p>
            <w:r>
              <w:t>Budget Achievement</w:t>
            </w:r>
          </w:p>
        </w:tc>
        <w:tc>
          <w:tcPr>
            <w:tcW w:type="dxa" w:w="5040"/>
          </w:tcPr>
          <w:p>
            <w:r>
              <w:t>605.99%</w:t>
            </w:r>
          </w:p>
        </w:tc>
      </w:tr>
      <w:tr>
        <w:tc>
          <w:tcPr>
            <w:tcW w:type="dxa" w:w="5040"/>
          </w:tcPr>
          <w:p>
            <w:r>
              <w:t>Variance %</w:t>
            </w:r>
          </w:p>
        </w:tc>
        <w:tc>
          <w:tcPr>
            <w:tcW w:type="dxa" w:w="5040"/>
          </w:tcPr>
          <w:p>
            <w:r>
              <w:t>505.99%</w:t>
            </w:r>
          </w:p>
        </w:tc>
      </w:tr>
    </w:tbl>
    <w:p>
      <w:pPr>
        <w:pStyle w:val="Heading1"/>
      </w:pPr>
      <w:r>
        <w:t>5. Interpretation Note</w:t>
      </w:r>
    </w:p>
    <w:p>
      <w:r>
        <w:t>The findings above are based on the values and visuals displayed in the submitted Power BI report. Where the dashboard appears to contain partial-year data or unusually large budget differences, the item is explicitly treated as a validation point rather than a definitive business conclusion.</w:t>
      </w:r>
    </w:p>
    <w:p>
      <w:pPr>
        <w:pStyle w:val="Heading1"/>
      </w:pPr>
      <w:r>
        <w:t>6. Business Insights Submission Checklist</w:t>
      </w:r>
    </w:p>
    <w:p>
      <w:pPr>
        <w:pStyle w:val="ListBullet"/>
        <w:spacing w:after="80"/>
      </w:pPr>
      <w:r>
        <w:t>Top 5 findings — included</w:t>
      </w:r>
    </w:p>
    <w:p>
      <w:pPr>
        <w:pStyle w:val="ListBullet"/>
        <w:spacing w:after="80"/>
      </w:pPr>
      <w:r>
        <w:t>Top 5 business problems identified — included</w:t>
      </w:r>
    </w:p>
    <w:p>
      <w:pPr>
        <w:pStyle w:val="ListBullet"/>
        <w:spacing w:after="80"/>
      </w:pPr>
      <w:r>
        <w:t>Top 5 recommendations —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Varshitha — Power BI Sales Performance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