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Arial" w:hAnsi="Arial"/>
          <w:b/>
          <w:color w:val="0F172A"/>
          <w:sz w:val="36"/>
        </w:rPr>
        <w:t>Subscription Billing, Refund &amp; Cancellation Policy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📖 Executive Summary</w:t>
      </w:r>
    </w:p>
    <w:p>
      <w:pPr>
        <w:spacing w:after="120" w:line="276" w:lineRule="auto"/>
      </w:pPr>
      <w:r>
        <w:t xml:space="preserve">Antigravity Technologies offers transparent, usage-based subscription plans with a </w:t>
      </w:r>
      <w:r>
        <w:rPr>
          <w:b/>
        </w:rPr>
        <w:t>30-day unconditional money-back guarantee</w:t>
      </w:r>
      <w:r>
        <w:t xml:space="preserve"> on all tiers. We accept Visa, Mastercard, American Express, and wire transfer (Enterprise only). All billing, refund, and data handling processes comply with </w:t>
      </w:r>
      <w:r>
        <w:rPr>
          <w:b/>
        </w:rPr>
        <w:t>GDPR (EU)</w:t>
      </w:r>
      <w:r>
        <w:t xml:space="preserve">, </w:t>
      </w:r>
      <w:r>
        <w:rPr>
          <w:b/>
        </w:rPr>
        <w:t>SOC 2 Type II</w:t>
      </w:r>
      <w:r>
        <w:t xml:space="preserve">, and </w:t>
      </w:r>
      <w:r>
        <w:rPr>
          <w:b/>
        </w:rPr>
        <w:t>CCPA (California)</w:t>
      </w:r>
      <w:r>
        <w:t xml:space="preserve"> regulations.</w:t>
      </w:r>
    </w:p>
    <w:p>
      <w:r>
        <w:rPr>
          <w:color w:val="E2E8F0"/>
        </w:rPr>
        <w:t>____________________________________________________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💡 Subscription Plans &amp; Pricing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Current Plan Tiers (Effective August 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Feature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Developer ($29/mo)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Pro Team ($149/mo)</w:t>
            </w:r>
          </w:p>
        </w:tc>
        <w:tc>
          <w:tcPr>
            <w:tcW w:type="dxa" w:w="216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Enterprise (Custom)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**Uploaded Documents**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Up to 50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Up to 500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Unlimited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**RAG Queries / Month**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10,000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100,000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Unlimited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**LLM Providers**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Groq + OpenRouter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Groq + Gemini + OpenRouter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All + Dedicated Router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**Embedding Model**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Shared (Groq)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Shared (Gemini + Groq)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Dedicated Instance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**Support Level**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Email (P3/P4)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Email + Slack (P2–P4)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24/7 Phone + Slack + PagerDuty (P1–P4)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**SLA Uptime**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99.5% (best effort)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99.9%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99.95% with credits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**Data Retention**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30 days post-cancel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60 days post-cancel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Custom (up to 1 year)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**SSO / SAML**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❌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❌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**Dedicated Account Manager**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❌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❌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✅</w:t>
            </w:r>
          </w:p>
        </w:tc>
      </w:tr>
    </w:tbl>
    <w:p/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Annual Billing Discount</w:t>
      </w:r>
    </w:p>
    <w:p>
      <w:pPr>
        <w:pStyle w:val="ListBullet"/>
        <w:spacing w:after="60"/>
      </w:pPr>
      <w:r/>
      <w:r>
        <w:rPr>
          <w:b/>
        </w:rPr>
        <w:t>Developer Annual</w:t>
      </w:r>
      <w:r>
        <w:t>: $290/year (save $58 — 2 months free)</w:t>
      </w:r>
    </w:p>
    <w:p>
      <w:pPr>
        <w:pStyle w:val="ListBullet"/>
        <w:spacing w:after="60"/>
      </w:pPr>
      <w:r/>
      <w:r>
        <w:rPr>
          <w:b/>
        </w:rPr>
        <w:t>Pro Team Annual</w:t>
      </w:r>
      <w:r>
        <w:t>: $1,490/year (save $298 — 2 months free)</w:t>
      </w:r>
    </w:p>
    <w:p>
      <w:pPr>
        <w:pStyle w:val="ListBullet"/>
        <w:spacing w:after="60"/>
      </w:pPr>
      <w:r/>
      <w:r>
        <w:rPr>
          <w:b/>
        </w:rPr>
        <w:t>Enterprise Annual</w:t>
      </w:r>
      <w:r>
        <w:t>: Custom negotiated pricing</w:t>
      </w:r>
    </w:p>
    <w:p>
      <w:r>
        <w:rPr>
          <w:color w:val="E2E8F0"/>
        </w:rPr>
        <w:t>____________________________________________________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💰 Refund Policy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30-Day Unconditional Money-Back Guarantee</w:t>
      </w:r>
    </w:p>
    <w:p>
      <w:pPr>
        <w:spacing w:after="120" w:line="276" w:lineRule="auto"/>
      </w:pPr>
      <w:r>
        <w:t xml:space="preserve">All new subscriptions (Developer, Pro Team, and Enterprise) are covered by a </w:t>
      </w:r>
      <w:r>
        <w:rPr>
          <w:b/>
        </w:rPr>
        <w:t>30-day unconditional refund guarantee</w:t>
      </w:r>
      <w:r>
        <w:t>:</w:t>
      </w:r>
    </w:p>
    <w:p>
      <w:pPr>
        <w:pStyle w:val="ListBullet"/>
        <w:spacing w:after="60"/>
      </w:pPr>
      <w:r/>
      <w:r>
        <w:rPr>
          <w:b/>
        </w:rPr>
        <w:t>Eligibility</w:t>
      </w:r>
      <w:r>
        <w:t xml:space="preserve">: Refund request must be submitted within </w:t>
      </w:r>
      <w:r>
        <w:rPr>
          <w:b/>
        </w:rPr>
        <w:t>30 calendar days</w:t>
      </w:r>
      <w:r>
        <w:t xml:space="preserve"> of the initial charge date.</w:t>
      </w:r>
    </w:p>
    <w:p>
      <w:pPr>
        <w:pStyle w:val="ListBullet"/>
        <w:spacing w:after="60"/>
      </w:pPr>
      <w:r/>
      <w:r>
        <w:rPr>
          <w:b/>
        </w:rPr>
        <w:t>Refund Amount</w:t>
      </w:r>
      <w:r>
        <w:t>: 100% of the subscription fee paid (no pro-rating for partial months).</w:t>
      </w:r>
    </w:p>
    <w:p>
      <w:pPr>
        <w:pStyle w:val="ListBullet"/>
        <w:spacing w:after="60"/>
      </w:pPr>
      <w:r/>
      <w:r>
        <w:rPr>
          <w:b/>
        </w:rPr>
        <w:t>Processing Time</w:t>
      </w:r>
      <w:r>
        <w:t xml:space="preserve">: Refunds are processed to the original payment method within </w:t>
      </w:r>
      <w:r>
        <w:rPr>
          <w:b/>
        </w:rPr>
        <w:t>3–5 business days</w:t>
      </w:r>
      <w:r>
        <w:t>.</w:t>
      </w:r>
    </w:p>
    <w:p>
      <w:pPr>
        <w:pStyle w:val="ListBullet"/>
        <w:spacing w:after="60"/>
      </w:pPr>
      <w:r/>
      <w:r>
        <w:rPr>
          <w:b/>
        </w:rPr>
        <w:t>How to Request</w:t>
      </w:r>
      <w:r>
        <w:t>: Email `billing@antigravity.ai` with your account email and order/invoice ID.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Refund Exceptions</w:t>
      </w:r>
    </w:p>
    <w:p>
      <w:pPr>
        <w:spacing w:after="120" w:line="276" w:lineRule="auto"/>
      </w:pPr>
      <w:r>
        <w:t xml:space="preserve">The following are </w:t>
      </w:r>
      <w:r>
        <w:rPr>
          <w:b/>
        </w:rPr>
        <w:t>not eligible</w:t>
      </w:r>
      <w:r>
        <w:t xml:space="preserve"> for refund:</w:t>
      </w:r>
    </w:p>
    <w:p>
      <w:pPr>
        <w:pStyle w:val="ListBullet"/>
        <w:spacing w:after="60"/>
      </w:pPr>
      <w:r>
        <w:t>Subscriptions renewed after the initial 30-day period.</w:t>
      </w:r>
    </w:p>
    <w:p>
      <w:pPr>
        <w:pStyle w:val="ListBullet"/>
        <w:spacing w:after="60"/>
      </w:pPr>
      <w:r>
        <w:t>Add-on purchases (extra storage, dedicated model router) after activation.</w:t>
      </w:r>
    </w:p>
    <w:p>
      <w:pPr>
        <w:pStyle w:val="ListBullet"/>
        <w:spacing w:after="60"/>
      </w:pPr>
      <w:r>
        <w:t>Enterprise contracts with custom negotiated terms (governed by individual MSA).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Partial Refund (Pro-Rated)</w:t>
      </w:r>
    </w:p>
    <w:p>
      <w:pPr>
        <w:spacing w:after="120" w:line="276" w:lineRule="auto"/>
      </w:pPr>
      <w:r>
        <w:t xml:space="preserve">For annual subscriptions cancelled after the 30-day guarantee period, a </w:t>
      </w:r>
      <w:r>
        <w:rPr>
          <w:b/>
        </w:rPr>
        <w:t>pro-rated refund</w:t>
      </w:r>
      <w:r>
        <w:t xml:space="preserve"> for unused full months is available upon request. A 10% early termination fee applies.</w:t>
      </w:r>
    </w:p>
    <w:p>
      <w:r>
        <w:rPr>
          <w:color w:val="E2E8F0"/>
        </w:rPr>
        <w:t>____________________________________________________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🔄 Cancellation &amp; Account Closure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How to Cancel</w:t>
      </w:r>
    </w:p>
    <w:p>
      <w:pPr>
        <w:pStyle w:val="ListNumber"/>
        <w:spacing w:after="60"/>
      </w:pPr>
      <w:r/>
      <w:r>
        <w:rPr>
          <w:b/>
        </w:rPr>
        <w:t>Self-Service</w:t>
      </w:r>
      <w:r>
        <w:t xml:space="preserve">: Navigate to </w:t>
      </w:r>
      <w:r>
        <w:rPr>
          <w:b/>
        </w:rPr>
        <w:t>Settings → Subscription → Cancel Plan</w:t>
      </w:r>
      <w:r>
        <w:t xml:space="preserve"> in the admin dashboard.</w:t>
      </w:r>
    </w:p>
    <w:p>
      <w:pPr>
        <w:pStyle w:val="ListNumber"/>
        <w:spacing w:after="60"/>
      </w:pPr>
      <w:r/>
      <w:r>
        <w:rPr>
          <w:b/>
        </w:rPr>
        <w:t>Email Support</w:t>
      </w:r>
      <w:r>
        <w:t>: Send cancellation request to `billing@antigravity.ai`.</w:t>
      </w:r>
    </w:p>
    <w:p>
      <w:pPr>
        <w:pStyle w:val="ListNumber"/>
        <w:spacing w:after="60"/>
      </w:pPr>
      <w:r/>
      <w:r>
        <w:rPr>
          <w:b/>
        </w:rPr>
        <w:t>Enterprise Customers</w:t>
      </w:r>
      <w:r>
        <w:t>: Contact your dedicated Account Manager or email `enterprise-support@antigravity.ai`.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What Happens After Cancellation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Timeline</w:t>
            </w:r>
          </w:p>
        </w:tc>
        <w:tc>
          <w:tcPr>
            <w:tcW w:type="dxa" w:w="432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Action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**Immediately**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Auto-renewal is stopped; no further charges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**Until billing period ends**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Full access to all features continues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**Billing period ends**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Account switches to read-only mode (can export data)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**30 days post-expiry (Developer/Pro)**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All uploaded documents, vector embeddings, chat history, and analytics data are permanently purged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**60 days post-expiry (Enterprise)**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Data purge (unless custom retention agreement exists)</w:t>
            </w:r>
          </w:p>
        </w:tc>
      </w:tr>
    </w:tbl>
    <w:p/>
    <w:p>
      <w:r>
        <w:rPr>
          <w:color w:val="E2E8F0"/>
        </w:rPr>
        <w:t>____________________________________________________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🔒 Data Privacy &amp; Compliance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Regulatory Compliance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Standard</w:t>
            </w:r>
          </w:p>
        </w:tc>
        <w:tc>
          <w:tcPr>
            <w:tcW w:type="dxa" w:w="28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Status</w:t>
            </w:r>
          </w:p>
        </w:tc>
        <w:tc>
          <w:tcPr>
            <w:tcW w:type="dxa" w:w="288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Certification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**GDPR (EU)**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✅ Compliant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Data Processing Agreement (DPA) available on request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**SOC 2 Type II**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✅ Certified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Annual audit by independent auditor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**CCPA (California)**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✅ Compliant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Privacy policy updated quarterly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**HIPAA**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🔄 In Progress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BAA available for Enterprise Healthcare customers (Q4 2026)</w:t>
            </w:r>
          </w:p>
        </w:tc>
      </w:tr>
    </w:tbl>
    <w:p/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Right to Data Portability</w:t>
      </w:r>
    </w:p>
    <w:p>
      <w:pPr>
        <w:spacing w:after="120" w:line="276" w:lineRule="auto"/>
      </w:pPr>
      <w:r>
        <w:t xml:space="preserve">Customers may export all uploaded documents, chat transcripts, and analytics data at any time via </w:t>
      </w:r>
      <w:r>
        <w:rPr>
          <w:b/>
        </w:rPr>
        <w:t>Settings → Data Export</w:t>
      </w:r>
      <w:r>
        <w:t>. Exports are delivered as a ZIP archive containing:</w:t>
      </w:r>
    </w:p>
    <w:p>
      <w:pPr>
        <w:pStyle w:val="ListBullet"/>
        <w:spacing w:after="60"/>
      </w:pPr>
      <w:r>
        <w:t>Original uploaded files (PDF, DOCX, TXT, MD)</w:t>
      </w:r>
    </w:p>
    <w:p>
      <w:pPr>
        <w:pStyle w:val="ListBullet"/>
        <w:spacing w:after="60"/>
      </w:pPr>
      <w:r>
        <w:t>Chat history in JSON format</w:t>
      </w:r>
    </w:p>
    <w:p>
      <w:pPr>
        <w:pStyle w:val="ListBullet"/>
        <w:spacing w:after="60"/>
      </w:pPr>
      <w:r>
        <w:t>Analytics summary in CSV format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Right to Erasure (GDPR Article 17)</w:t>
      </w:r>
    </w:p>
    <w:p>
      <w:pPr>
        <w:spacing w:after="120" w:line="276" w:lineRule="auto"/>
      </w:pPr>
      <w:r>
        <w:t xml:space="preserve">Upon written request to `privacy@antigravity.ai`, all personal data, uploaded documents, vector embeddings, and chat logs will be permanently deleted within </w:t>
      </w:r>
      <w:r>
        <w:rPr>
          <w:b/>
        </w:rPr>
        <w:t>14 business days</w:t>
      </w:r>
      <w:r>
        <w:t>. Confirmation of deletion is provided via email.</w:t>
      </w:r>
    </w:p>
    <w:p>
      <w:r>
        <w:rPr>
          <w:color w:val="E2E8F0"/>
        </w:rPr>
        <w:t>____________________________________________________</w:t>
      </w:r>
    </w:p>
    <w:p>
      <w:pPr>
        <w:spacing w:before="240" w:after="80"/>
      </w:pPr>
      <w:r>
        <w:rPr>
          <w:rFonts w:ascii="Arial" w:hAnsi="Arial"/>
          <w:b/>
          <w:color w:val="4F46E5"/>
          <w:sz w:val="28"/>
        </w:rPr>
        <w:t>🔗 Cross-References &amp; Related Wiki Documents</w:t>
      </w:r>
    </w:p>
    <w:p>
      <w:pPr>
        <w:pStyle w:val="ListBullet"/>
        <w:spacing w:after="60"/>
      </w:pPr>
      <w:r>
        <w:t>[Master Wiki Index](../INDEX.md)</w:t>
      </w:r>
    </w:p>
    <w:p>
      <w:pPr>
        <w:pStyle w:val="ListBullet"/>
        <w:spacing w:after="60"/>
      </w:pPr>
      <w:r>
        <w:t>[Customer Support SLA &amp; Escalation Policy](../customer_support/01_sla_and_escalation.md)</w:t>
      </w:r>
    </w:p>
    <w:p>
      <w:pPr>
        <w:pStyle w:val="ListBullet"/>
        <w:spacing w:after="60"/>
      </w:pPr>
      <w:r>
        <w:t>[Technical Troubleshooting &amp; FAQ](../technical/03_troubleshooting_faq.md)</w:t>
      </w:r>
    </w:p>
    <w:p>
      <w:pPr>
        <w:pStyle w:val="ListBullet"/>
        <w:spacing w:after="60"/>
      </w:pPr>
      <w:r>
        <w:t>[Product Return &amp; Warranty Guidelines](../returns/04_warranty_and_rma.md)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