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E293B"/>
          <w:sz w:val="40"/>
        </w:rPr>
        <w:t>Enterprise Customer Support SLA &amp; Escalation Policy</w:t>
      </w:r>
    </w:p>
    <w:p/>
    <w:p>
      <w:r>
        <w:rPr>
          <w:rFonts w:ascii="Arial" w:hAnsi="Arial"/>
          <w:b/>
          <w:color w:val="4F46E5"/>
          <w:sz w:val="28"/>
        </w:rPr>
        <w:t>1. Executive Overview &amp; Availability Guarantees</w:t>
      </w:r>
    </w:p>
    <w:p>
      <w:r>
        <w:rPr>
          <w:rFonts w:ascii="Arial" w:hAnsi="Arial"/>
          <w:color w:val="334155"/>
          <w:sz w:val="22"/>
        </w:rPr>
        <w:t>Antigravity Enterprise provides 24/7 technical support, 99.95% availability commitments, and structured escalation workflows for all enterprise knowledge base services.</w:t>
      </w:r>
    </w:p>
    <w:p>
      <w:r>
        <w:rPr>
          <w:rFonts w:ascii="Arial" w:hAnsi="Arial"/>
          <w:color w:val="334155"/>
          <w:sz w:val="22"/>
        </w:rPr>
        <w:t>System uptime is monitored continuously across all global endpoints. If monthly availability falls below 99.95%, qualified Enterprise accounts receive pro-rated service credits.</w:t>
      </w:r>
    </w:p>
    <w:p/>
    <w:p>
      <w:r>
        <w:rPr>
          <w:rFonts w:ascii="Arial" w:hAnsi="Arial"/>
          <w:b/>
          <w:color w:val="4F46E5"/>
          <w:sz w:val="28"/>
        </w:rPr>
        <w:t>2. SLA Priority Classification &amp; Response Targets</w:t>
      </w:r>
    </w:p>
    <w:p>
      <w:r>
        <w:rPr>
          <w:rFonts w:ascii="Arial" w:hAnsi="Arial"/>
          <w:color w:val="334155"/>
          <w:sz w:val="22"/>
        </w:rPr>
        <w:t>Priority 1 (P1 - Critical Outage): Complete core system downtime affecting all users. Initial Response Target: Under 15 Minutes. Target Resolution Time: Under 2 Hours. Support Coverage: 24/7/365 Dedicated Phone &amp; Slack Connect.</w:t>
      </w:r>
    </w:p>
    <w:p>
      <w:r>
        <w:rPr>
          <w:rFonts w:ascii="Arial" w:hAnsi="Arial"/>
          <w:color w:val="334155"/>
          <w:sz w:val="22"/>
        </w:rPr>
        <w:t>Priority 2 (P2 - Major Degraded Service): Partial service degradation or latency exceeding 2000ms. Initial Response Target: Under 1 Hour. Target Resolution Time: Under 6 Hours. Support Coverage: 24/7 Email &amp; Slack.</w:t>
      </w:r>
    </w:p>
    <w:p>
      <w:r>
        <w:rPr>
          <w:rFonts w:ascii="Arial" w:hAnsi="Arial"/>
          <w:color w:val="334155"/>
          <w:sz w:val="22"/>
        </w:rPr>
        <w:t>Priority 3 (P3 - Moderate Issue): Non-critical bug or single user permission issue. Initial Response Target: Under 4 Business Hours. Target Resolution Time: Under 24 Hours. Support Coverage: Mon-Fri 8 AM - 8 PM EST.</w:t>
      </w:r>
    </w:p>
    <w:p/>
    <w:p>
      <w:r>
        <w:rPr>
          <w:rFonts w:ascii="Arial" w:hAnsi="Arial"/>
          <w:b/>
          <w:color w:val="4F46E5"/>
          <w:sz w:val="28"/>
        </w:rPr>
        <w:t>3. Multi-Tiered Incident Escalation Ladder</w:t>
      </w:r>
    </w:p>
    <w:p>
      <w:r>
        <w:rPr>
          <w:rFonts w:ascii="Arial" w:hAnsi="Arial"/>
          <w:color w:val="334155"/>
          <w:sz w:val="22"/>
        </w:rPr>
        <w:t>Level 1 Triage: Tier 1 Support Specialist collects error logs, status codes, and reproduction steps.</w:t>
      </w:r>
    </w:p>
    <w:p>
      <w:r>
        <w:rPr>
          <w:rFonts w:ascii="Arial" w:hAnsi="Arial"/>
          <w:color w:val="334155"/>
          <w:sz w:val="22"/>
        </w:rPr>
        <w:t>Level 2 Technical Escalation: Tier 2 Engineer engaged after 30 minutes for P1 or 2 hours for P2 outages to debug database connection pools and router states.</w:t>
      </w:r>
    </w:p>
    <w:p>
      <w:r>
        <w:rPr>
          <w:rFonts w:ascii="Arial" w:hAnsi="Arial"/>
          <w:color w:val="334155"/>
          <w:sz w:val="22"/>
        </w:rPr>
        <w:t>Level 3 Engineering: Tier 3 AI Solutions Architect applies code hotfixes, schema migrations, or provider overrides.</w:t>
      </w:r>
    </w:p>
    <w:p>
      <w:r>
        <w:rPr>
          <w:rFonts w:ascii="Arial" w:hAnsi="Arial"/>
          <w:color w:val="334155"/>
          <w:sz w:val="22"/>
        </w:rPr>
        <w:t>Level 4 Executive Escalation: VP of Customer Operations (executive-escalations@antigravity.ai) receives direct alert for unresolved P1 outages past 90 minutes.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