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293B"/>
          <w:sz w:val="40"/>
        </w:rPr>
        <w:t>Subscription Billing, Payment, Refund &amp; Data Retention Policy</w:t>
      </w:r>
    </w:p>
    <w:p/>
    <w:p>
      <w:r>
        <w:rPr>
          <w:rFonts w:ascii="Arial" w:hAnsi="Arial"/>
          <w:b/>
          <w:color w:val="4F46E5"/>
          <w:sz w:val="28"/>
        </w:rPr>
        <w:t>1. Subscription Tiers &amp; Pricing Specs</w:t>
      </w:r>
    </w:p>
    <w:p>
      <w:r>
        <w:rPr>
          <w:rFonts w:ascii="Arial" w:hAnsi="Arial"/>
          <w:color w:val="334155"/>
          <w:sz w:val="22"/>
        </w:rPr>
        <w:t>Developer / Starter Plan ($29/month): Up to 50 uploaded documents (25MB max size) and 10,000 RAG queries per month. Includes standard email support.</w:t>
      </w:r>
    </w:p>
    <w:p>
      <w:r>
        <w:rPr>
          <w:rFonts w:ascii="Arial" w:hAnsi="Arial"/>
          <w:color w:val="334155"/>
          <w:sz w:val="22"/>
        </w:rPr>
        <w:t>Pro Team Plan ($149/month): Up to 500 uploaded documents (100MB max size) and 100,000 RAG queries per month. Includes priority email and Slack support.</w:t>
      </w:r>
    </w:p>
    <w:p>
      <w:r>
        <w:rPr>
          <w:rFonts w:ascii="Arial" w:hAnsi="Arial"/>
          <w:color w:val="334155"/>
          <w:sz w:val="22"/>
        </w:rPr>
        <w:t>Enterprise Custom Plan (Custom Quote): Unlimited uploaded documents and queries, 99.95% SLA, dedicated model router, and 24/7 phone support.</w:t>
      </w:r>
    </w:p>
    <w:p/>
    <w:p>
      <w:r>
        <w:rPr>
          <w:rFonts w:ascii="Arial" w:hAnsi="Arial"/>
          <w:b/>
          <w:color w:val="4F46E5"/>
          <w:sz w:val="28"/>
        </w:rPr>
        <w:t>2. 30-Day Money-Back Guarantee</w:t>
      </w:r>
    </w:p>
    <w:p>
      <w:r>
        <w:rPr>
          <w:rFonts w:ascii="Arial" w:hAnsi="Arial"/>
          <w:color w:val="334155"/>
          <w:sz w:val="22"/>
        </w:rPr>
        <w:t>All new subscription plans qualify for a 100% full money-back refund within 30 calendar days of initial purchase.</w:t>
      </w:r>
    </w:p>
    <w:p>
      <w:r>
        <w:rPr>
          <w:rFonts w:ascii="Arial" w:hAnsi="Arial"/>
          <w:color w:val="334155"/>
          <w:sz w:val="22"/>
        </w:rPr>
        <w:t>Refund requests must be submitted via the Billing Portal or by emailing billing@antigravity.ai. Approved refunds are credited back to the original payment method within 3 to 5 business days.</w:t>
      </w:r>
    </w:p>
    <w:p/>
    <w:p>
      <w:r>
        <w:rPr>
          <w:rFonts w:ascii="Arial" w:hAnsi="Arial"/>
          <w:b/>
          <w:color w:val="4F46E5"/>
          <w:sz w:val="28"/>
        </w:rPr>
        <w:t>3. Cancellation &amp; Automated GDPR / SOC 2 Data Purging</w:t>
      </w:r>
    </w:p>
    <w:p>
      <w:r>
        <w:rPr>
          <w:rFonts w:ascii="Arial" w:hAnsi="Arial"/>
          <w:color w:val="334155"/>
          <w:sz w:val="22"/>
        </w:rPr>
        <w:t>Subscribers may cancel their subscription anytime via Account Settings -&gt; Subscription -&gt; Cancel Plan. Access remains active through the current billing period.</w:t>
      </w:r>
    </w:p>
    <w:p>
      <w:r>
        <w:rPr>
          <w:rFonts w:ascii="Arial" w:hAnsi="Arial"/>
          <w:color w:val="334155"/>
          <w:sz w:val="22"/>
        </w:rPr>
        <w:t>Grace Period (Days 0-30): Documents and vector embeddings remain safely archived for instant account reactivation.</w:t>
      </w:r>
    </w:p>
    <w:p>
      <w:r>
        <w:rPr>
          <w:rFonts w:ascii="Arial" w:hAnsi="Arial"/>
          <w:color w:val="334155"/>
          <w:sz w:val="22"/>
        </w:rPr>
        <w:t>Permanent Purge (Day 30): All uploaded documents, parsed text chunks, vector embeddings, and telemetry logs are permanently and unrecoverably erased from all primary servers and database backups in compliance with GDPR Article 17 and SOC 2 Type II regulations.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