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93B"/>
          <w:sz w:val="40"/>
        </w:rPr>
        <w:t>Account Security, Access Control &amp; Privacy Policy</w:t>
      </w:r>
    </w:p>
    <w:p/>
    <w:p>
      <w:r>
        <w:rPr>
          <w:rFonts w:ascii="Arial" w:hAnsi="Arial"/>
          <w:b/>
          <w:color w:val="4F46E5"/>
          <w:sz w:val="28"/>
        </w:rPr>
        <w:t>1. Role-Based Access Control (RBAC)</w:t>
      </w:r>
    </w:p>
    <w:p>
      <w:r>
        <w:rPr>
          <w:rFonts w:ascii="Arial" w:hAnsi="Arial"/>
          <w:color w:val="334155"/>
          <w:sz w:val="22"/>
        </w:rPr>
        <w:t>Customer Role: Authenticated or public users restricted exclusively to sending support queries to the chatbot interface. Cannot view vector stores, telemetry, or admin settings.</w:t>
      </w:r>
    </w:p>
    <w:p>
      <w:r>
        <w:rPr>
          <w:rFonts w:ascii="Arial" w:hAnsi="Arial"/>
          <w:color w:val="334155"/>
          <w:sz w:val="22"/>
        </w:rPr>
        <w:t>Admin Role: Designated platform administrators with exclusive rights to manage knowledge base documents, configure router strategies, toggle OKF/RAG modes, and inspect analytics.</w:t>
      </w:r>
    </w:p>
    <w:p/>
    <w:p>
      <w:r>
        <w:rPr>
          <w:rFonts w:ascii="Arial" w:hAnsi="Arial"/>
          <w:b/>
          <w:color w:val="4F46E5"/>
          <w:sz w:val="28"/>
        </w:rPr>
        <w:t>2. Authentication &amp; Password Protection</w:t>
      </w:r>
    </w:p>
    <w:p>
      <w:r>
        <w:rPr>
          <w:rFonts w:ascii="Arial" w:hAnsi="Arial"/>
          <w:color w:val="334155"/>
          <w:sz w:val="22"/>
        </w:rPr>
        <w:t>Multi-Factor Authentication (MFA): Mandatory for all admin accounts using TOTP authenticator apps or hardware keys.</w:t>
      </w:r>
    </w:p>
    <w:p>
      <w:r>
        <w:rPr>
          <w:rFonts w:ascii="Arial" w:hAnsi="Arial"/>
          <w:color w:val="334155"/>
          <w:sz w:val="22"/>
        </w:rPr>
        <w:t>Password Security: Passwords must be at least 10 characters long with upper/lowercase letters, numbers, and symbols.</w:t>
      </w:r>
    </w:p>
    <w:p>
      <w:r>
        <w:rPr>
          <w:rFonts w:ascii="Arial" w:hAnsi="Arial"/>
          <w:color w:val="334155"/>
          <w:sz w:val="22"/>
        </w:rPr>
        <w:t>Account Lockout: Accounts auto-lock for 15 minutes after 5 consecutive failed login attempts to prevent brute-force attacks.</w:t>
      </w:r>
    </w:p>
    <w:p/>
    <w:p>
      <w:r>
        <w:rPr>
          <w:rFonts w:ascii="Arial" w:hAnsi="Arial"/>
          <w:b/>
          <w:color w:val="4F46E5"/>
          <w:sz w:val="28"/>
        </w:rPr>
        <w:t>3. Data Encryption &amp; Tenant Isolation</w:t>
      </w:r>
    </w:p>
    <w:p>
      <w:r>
        <w:rPr>
          <w:rFonts w:ascii="Arial" w:hAnsi="Arial"/>
          <w:color w:val="334155"/>
          <w:sz w:val="22"/>
        </w:rPr>
        <w:t>Encryption in Transit: All communications use TLS 1.3 encryption with ECDHE key exchanges.</w:t>
      </w:r>
    </w:p>
    <w:p>
      <w:r>
        <w:rPr>
          <w:rFonts w:ascii="Arial" w:hAnsi="Arial"/>
          <w:color w:val="334155"/>
          <w:sz w:val="22"/>
        </w:rPr>
        <w:t>Encryption at Rest: Uploaded documents and vector embeddings are stored using AES-256 GCM encryption.</w:t>
      </w:r>
    </w:p>
    <w:p>
      <w:r>
        <w:rPr>
          <w:rFonts w:ascii="Arial" w:hAnsi="Arial"/>
          <w:color w:val="334155"/>
          <w:sz w:val="22"/>
        </w:rPr>
        <w:t>Multi-Tenant Isolation: Database tenant boundaries are strictly enforced via PostgreSQL Row Level Security (RLS) policies.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