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Product Return, Hardware Warranty &amp; RMA Guidelines</w:t>
      </w:r>
    </w:p>
    <w:p/>
    <w:p>
      <w:r>
        <w:rPr>
          <w:rFonts w:ascii="Arial" w:hAnsi="Arial"/>
          <w:b/>
          <w:color w:val="4F46E5"/>
          <w:sz w:val="28"/>
        </w:rPr>
        <w:t>1. Return &amp; Exchange Policy Window</w:t>
      </w:r>
    </w:p>
    <w:p>
      <w:r>
        <w:rPr>
          <w:rFonts w:ascii="Arial" w:hAnsi="Arial"/>
          <w:color w:val="334155"/>
          <w:sz w:val="22"/>
        </w:rPr>
        <w:t>30-Day Return Window: Customers may return unopened, undamaged, or defective hardware items within 30 days of delivery for a full refund or direct unit replacement.</w:t>
      </w:r>
    </w:p>
    <w:p>
      <w:r>
        <w:rPr>
          <w:rFonts w:ascii="Arial" w:hAnsi="Arial"/>
          <w:color w:val="334155"/>
          <w:sz w:val="22"/>
        </w:rPr>
        <w:t>Items must be returned in original packaging with included power cables, mounting brackets, and documentation.</w:t>
      </w:r>
    </w:p>
    <w:p/>
    <w:p>
      <w:r>
        <w:rPr>
          <w:rFonts w:ascii="Arial" w:hAnsi="Arial"/>
          <w:b/>
          <w:color w:val="4F46E5"/>
          <w:sz w:val="28"/>
        </w:rPr>
        <w:t>2. 1-Year Limited Hardware Warranty</w:t>
      </w:r>
    </w:p>
    <w:p>
      <w:r>
        <w:rPr>
          <w:rFonts w:ascii="Arial" w:hAnsi="Arial"/>
          <w:color w:val="334155"/>
          <w:sz w:val="22"/>
        </w:rPr>
        <w:t>All hardware units carry a 1-Year Limited Warranty covering manufacturing defects, power supply failures, and component breakdowns under normal operating conditions.</w:t>
      </w:r>
    </w:p>
    <w:p>
      <w:r>
        <w:rPr>
          <w:rFonts w:ascii="Arial" w:hAnsi="Arial"/>
          <w:color w:val="334155"/>
          <w:sz w:val="22"/>
        </w:rPr>
        <w:t>Compliant with the US FTC Magnuson-Moss Warranty Act and European Union Consumer Protection Directives.</w:t>
      </w:r>
    </w:p>
    <w:p/>
    <w:p>
      <w:r>
        <w:rPr>
          <w:rFonts w:ascii="Arial" w:hAnsi="Arial"/>
          <w:b/>
          <w:color w:val="4F46E5"/>
          <w:sz w:val="28"/>
        </w:rPr>
        <w:t>3. Return Merchandise Authorization (RMA) Steps</w:t>
      </w:r>
    </w:p>
    <w:p>
      <w:r>
        <w:rPr>
          <w:rFonts w:ascii="Arial" w:hAnsi="Arial"/>
          <w:color w:val="334155"/>
          <w:sz w:val="22"/>
        </w:rPr>
        <w:t>Step 1: Contact support or email rma@antigravity.ai with the product serial number and description of the issue.</w:t>
      </w:r>
    </w:p>
    <w:p>
      <w:r>
        <w:rPr>
          <w:rFonts w:ascii="Arial" w:hAnsi="Arial"/>
          <w:color w:val="334155"/>
          <w:sz w:val="22"/>
        </w:rPr>
        <w:t>Step 2: Our logistics team issues an official RMA tracking code and prepaid shipping label within 4 business hours.</w:t>
      </w:r>
    </w:p>
    <w:p>
      <w:r>
        <w:rPr>
          <w:rFonts w:ascii="Arial" w:hAnsi="Arial"/>
          <w:color w:val="334155"/>
          <w:sz w:val="22"/>
        </w:rPr>
        <w:t>Step 3: Securely package the unit and drop off at an authorized carrier shipment center.</w:t>
      </w:r>
    </w:p>
    <w:p>
      <w:r>
        <w:rPr>
          <w:rFonts w:ascii="Arial" w:hAnsi="Arial"/>
          <w:color w:val="334155"/>
          <w:sz w:val="22"/>
        </w:rPr>
        <w:t>Step 4: Once scanned by the carrier, a replacement unit is dispatched via 2-day expedited air delivery.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