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Arial" w:hAnsi="Arial"/>
          <w:b/>
          <w:color w:val="0F172A"/>
          <w:sz w:val="36"/>
        </w:rPr>
        <w:t>Product Return, Warranty &amp; Return Merchandise Authorization (RMA) Guide</w:t>
      </w:r>
    </w:p>
    <w:p>
      <w:pPr>
        <w:spacing w:before="240" w:after="80"/>
      </w:pPr>
      <w:r>
        <w:rPr>
          <w:rFonts w:ascii="Arial" w:hAnsi="Arial"/>
          <w:b/>
          <w:color w:val="4F46E5"/>
          <w:sz w:val="28"/>
        </w:rPr>
        <w:t>📖 Executive Summary</w:t>
      </w:r>
    </w:p>
    <w:p>
      <w:pPr>
        <w:spacing w:after="120" w:line="276" w:lineRule="auto"/>
      </w:pPr>
      <w:r>
        <w:t xml:space="preserve">Antigravity Technologies offers a </w:t>
      </w:r>
      <w:r>
        <w:rPr>
          <w:b/>
        </w:rPr>
        <w:t>30-day no-questions-asked return window</w:t>
      </w:r>
      <w:r>
        <w:t xml:space="preserve"> for all hardware products and a </w:t>
      </w:r>
      <w:r>
        <w:rPr>
          <w:b/>
        </w:rPr>
        <w:t>1-year limited manufacturer's warranty</w:t>
      </w:r>
      <w:r>
        <w:t xml:space="preserve"> covering defects in materials and workmanship. All return and warranty processes comply with the </w:t>
      </w:r>
      <w:r>
        <w:rPr>
          <w:b/>
        </w:rPr>
        <w:t>FTC Magnuson-Moss Warranty Act</w:t>
      </w:r>
      <w:r>
        <w:t xml:space="preserve"> and applicable state consumer protection laws.</w:t>
      </w:r>
    </w:p>
    <w:p>
      <w:r>
        <w:rPr>
          <w:color w:val="E2E8F0"/>
        </w:rPr>
        <w:t>____________________________________________________</w:t>
      </w:r>
    </w:p>
    <w:p>
      <w:pPr>
        <w:spacing w:before="240" w:after="80"/>
      </w:pPr>
      <w:r>
        <w:rPr>
          <w:rFonts w:ascii="Arial" w:hAnsi="Arial"/>
          <w:b/>
          <w:color w:val="4F46E5"/>
          <w:sz w:val="28"/>
        </w:rPr>
        <w:t>💡 Return Policy — 30-Day Return Window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Eligibility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Condition</w:t>
            </w:r>
          </w:p>
        </w:tc>
        <w:tc>
          <w:tcPr>
            <w:tcW w:type="dxa" w:w="28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Eligible for Return?</w:t>
            </w:r>
          </w:p>
        </w:tc>
        <w:tc>
          <w:tcPr>
            <w:tcW w:type="dxa" w:w="28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Refund Type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**Unopened / Sealed** (within 30 days)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✅ Yes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100% full refund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**Opened / Used but Defective** (within 30 days)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✅ Yes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100% full refund or free replacement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**Opened / Used, No Defect** (within 30 days)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✅ Yes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85% refund (15% restocking fee)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**Beyond 30 days, Manufacturer Defect**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⚠️ Warranty claim only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Free repair or replacement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**Beyond 30 days, No Defect**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❌ No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Not eligible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**Physical Damage / Misuse**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❌ No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Not eligible</w:t>
            </w:r>
          </w:p>
        </w:tc>
      </w:tr>
    </w:tbl>
    <w:p/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Return Process</w:t>
      </w:r>
    </w:p>
    <w:p>
      <w:pPr>
        <w:pStyle w:val="ListNumber"/>
        <w:spacing w:after="60"/>
      </w:pPr>
      <w:r/>
      <w:r>
        <w:rPr>
          <w:b/>
        </w:rPr>
        <w:t>Initiate Return</w:t>
      </w:r>
      <w:r>
        <w:t>: Email `returns@antigravity.ai` or call +1 (888) 555-ANTI ext. 200 with your order number.</w:t>
      </w:r>
    </w:p>
    <w:p>
      <w:pPr>
        <w:pStyle w:val="ListNumber"/>
        <w:spacing w:after="60"/>
      </w:pPr>
      <w:r/>
      <w:r>
        <w:rPr>
          <w:b/>
        </w:rPr>
        <w:t>Receive RMA Number</w:t>
      </w:r>
      <w:r>
        <w:t>: An RMA authorization number will be issued within 1 business day.</w:t>
      </w:r>
    </w:p>
    <w:p>
      <w:pPr>
        <w:pStyle w:val="ListNumber"/>
        <w:spacing w:after="60"/>
      </w:pPr>
      <w:r/>
      <w:r>
        <w:rPr>
          <w:b/>
        </w:rPr>
        <w:t>Package &amp; Ship</w:t>
      </w:r>
      <w:r>
        <w:t xml:space="preserve">: Securely package the product in its original packaging (if available). Attach the </w:t>
      </w:r>
      <w:r>
        <w:rPr>
          <w:b/>
        </w:rPr>
        <w:t>prepaid shipping label</w:t>
      </w:r>
      <w:r>
        <w:t xml:space="preserve"> provided by our logistics team.</w:t>
      </w:r>
    </w:p>
    <w:p>
      <w:pPr>
        <w:pStyle w:val="ListNumber"/>
        <w:spacing w:after="60"/>
      </w:pPr>
      <w:r/>
      <w:r>
        <w:rPr>
          <w:b/>
        </w:rPr>
        <w:t>Inspection &amp; Refund</w:t>
      </w:r>
      <w:r>
        <w:t xml:space="preserve">: Upon receipt, our Quality Assurance team inspects the unit within 2 business days. Refund is processed to the original payment method within </w:t>
      </w:r>
      <w:r>
        <w:rPr>
          <w:b/>
        </w:rPr>
        <w:t>5–7 business days</w:t>
      </w:r>
      <w:r>
        <w:t xml:space="preserve"> after inspection approval.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Non-Returnable Items</w:t>
      </w:r>
    </w:p>
    <w:p>
      <w:pPr>
        <w:pStyle w:val="ListBullet"/>
        <w:spacing w:after="60"/>
      </w:pPr>
      <w:r>
        <w:t>Custom-configured enterprise hardware appliances (built-to-order)</w:t>
      </w:r>
    </w:p>
    <w:p>
      <w:pPr>
        <w:pStyle w:val="ListBullet"/>
        <w:spacing w:after="60"/>
      </w:pPr>
      <w:r>
        <w:t>Software license keys (once activated)</w:t>
      </w:r>
    </w:p>
    <w:p>
      <w:pPr>
        <w:pStyle w:val="ListBullet"/>
        <w:spacing w:after="60"/>
      </w:pPr>
      <w:r>
        <w:t>Consumable accessories (cables, adapters) opened from sealed packaging</w:t>
      </w:r>
    </w:p>
    <w:p>
      <w:r>
        <w:rPr>
          <w:color w:val="E2E8F0"/>
        </w:rPr>
        <w:t>____________________________________________________</w:t>
      </w:r>
    </w:p>
    <w:p>
      <w:pPr>
        <w:spacing w:before="240" w:after="80"/>
      </w:pPr>
      <w:r>
        <w:rPr>
          <w:rFonts w:ascii="Arial" w:hAnsi="Arial"/>
          <w:b/>
          <w:color w:val="4F46E5"/>
          <w:sz w:val="28"/>
        </w:rPr>
        <w:t>🛡️ Warranty Coverage — 1-Year Limited Warranty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What's Covered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Component</w:t>
            </w:r>
          </w:p>
        </w:tc>
        <w:tc>
          <w:tcPr>
            <w:tcW w:type="dxa" w:w="28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Coverage Period</w:t>
            </w:r>
          </w:p>
        </w:tc>
        <w:tc>
          <w:tcPr>
            <w:tcW w:type="dxa" w:w="28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Coverage Details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**Main Processing Unit**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12 months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Manufacturer defects, power supply failures, internal component faults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**Display / Screen**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12 months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Dead pixels (&gt;5), backlight failure, touch digitizer malfunction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**Battery**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6 months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Capacity degradation below 80% of rated capacity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**Accessories (Charger, Cables)**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6 months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Manufacturer defects only</w:t>
            </w:r>
          </w:p>
        </w:tc>
      </w:tr>
    </w:tbl>
    <w:p/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What's NOT Covered</w:t>
      </w:r>
    </w:p>
    <w:p>
      <w:pPr>
        <w:pStyle w:val="ListBullet"/>
        <w:spacing w:after="60"/>
      </w:pPr>
      <w:r>
        <w:t>Damage from drops, liquid spills, or physical impact</w:t>
      </w:r>
    </w:p>
    <w:p>
      <w:pPr>
        <w:pStyle w:val="ListBullet"/>
        <w:spacing w:after="60"/>
      </w:pPr>
      <w:r>
        <w:t>Unauthorized modifications, repairs, or disassembly</w:t>
      </w:r>
    </w:p>
    <w:p>
      <w:pPr>
        <w:pStyle w:val="ListBullet"/>
        <w:spacing w:after="60"/>
      </w:pPr>
      <w:r>
        <w:t>Cosmetic wear (scratches, dents) that does not affect functionality</w:t>
      </w:r>
    </w:p>
    <w:p>
      <w:pPr>
        <w:pStyle w:val="ListBullet"/>
        <w:spacing w:after="60"/>
      </w:pPr>
      <w:r>
        <w:t>Software issues (covered under software support SLA, not hardware warranty)</w:t>
      </w:r>
    </w:p>
    <w:p>
      <w:pPr>
        <w:pStyle w:val="ListBullet"/>
        <w:spacing w:after="60"/>
      </w:pPr>
      <w:r>
        <w:t>Products purchased from unauthorized resellers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Warranty Claim Process</w:t>
      </w:r>
    </w:p>
    <w:p>
      <w:pPr>
        <w:pStyle w:val="ListNumber"/>
        <w:spacing w:after="60"/>
      </w:pPr>
      <w:r/>
      <w:r>
        <w:rPr>
          <w:b/>
        </w:rPr>
        <w:t>Contact Support</w:t>
      </w:r>
      <w:r>
        <w:t>: Email `warranty@antigravity.ai` with your serial number and a description (+ photos) of the defect.</w:t>
      </w:r>
    </w:p>
    <w:p>
      <w:pPr>
        <w:pStyle w:val="ListNumber"/>
        <w:spacing w:after="60"/>
      </w:pPr>
      <w:r/>
      <w:r>
        <w:rPr>
          <w:b/>
        </w:rPr>
        <w:t>Diagnostic Assessment</w:t>
      </w:r>
      <w:r>
        <w:t>: Our Tier 2 engineer may request remote diagnostics or a short video demonstrating the issue.</w:t>
      </w:r>
    </w:p>
    <w:p>
      <w:pPr>
        <w:pStyle w:val="ListNumber"/>
        <w:spacing w:after="60"/>
      </w:pPr>
      <w:r/>
      <w:r>
        <w:rPr>
          <w:b/>
        </w:rPr>
        <w:t>RMA Issuance</w:t>
      </w:r>
      <w:r>
        <w:t>: If warranty-eligible, an RMA number and prepaid return label are issued.</w:t>
      </w:r>
    </w:p>
    <w:p>
      <w:pPr>
        <w:pStyle w:val="ListNumber"/>
        <w:spacing w:after="60"/>
      </w:pPr>
      <w:r/>
      <w:r>
        <w:rPr>
          <w:b/>
        </w:rPr>
        <w:t>Repair or Replace</w:t>
      </w:r>
      <w:r>
        <w:t>: Depending on the defect, we will either repair the unit (target: 5–7 business days) or ship a replacement unit within 3 business days.</w:t>
      </w:r>
    </w:p>
    <w:p>
      <w:pPr>
        <w:pStyle w:val="ListNumber"/>
        <w:spacing w:after="60"/>
      </w:pPr>
      <w:r/>
      <w:r>
        <w:rPr>
          <w:b/>
        </w:rPr>
        <w:t>Advance Replacement (Enterprise Only)</w:t>
      </w:r>
      <w:r>
        <w:t>: Enterprise customers receive a replacement unit shipped before returning the defective unit.</w:t>
      </w:r>
    </w:p>
    <w:p>
      <w:r>
        <w:rPr>
          <w:color w:val="E2E8F0"/>
        </w:rPr>
        <w:t>____________________________________________________</w:t>
      </w:r>
    </w:p>
    <w:p>
      <w:pPr>
        <w:spacing w:before="240" w:after="80"/>
      </w:pPr>
      <w:r>
        <w:rPr>
          <w:rFonts w:ascii="Arial" w:hAnsi="Arial"/>
          <w:b/>
          <w:color w:val="4F46E5"/>
          <w:sz w:val="28"/>
        </w:rPr>
        <w:t>📦 Shipping &amp; Logistics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Return Shipping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Region</w:t>
            </w:r>
          </w:p>
        </w:tc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Carrier</w:t>
            </w:r>
          </w:p>
        </w:tc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Shipping Cost</w:t>
            </w:r>
          </w:p>
        </w:tc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Estimated Transit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**Continental US**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FedEx Ground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Free (prepaid label)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3–5 business days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**Alaska / Hawaii**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FedEx Express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Free (prepaid label)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5–7 business days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**Canada**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UPS Standard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$15 flat rate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5–10 business days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**EU / UK**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DHL Express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$25 flat rate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7–14 business days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**Rest of World**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DHL Express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Customer responsibility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Varies</w:t>
            </w:r>
          </w:p>
        </w:tc>
      </w:tr>
    </w:tbl>
    <w:p/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Replacement Shipping</w:t>
      </w:r>
    </w:p>
    <w:p>
      <w:pPr>
        <w:spacing w:after="120" w:line="276" w:lineRule="auto"/>
      </w:pPr>
      <w:r>
        <w:t xml:space="preserve">Replacement units are shipped via </w:t>
      </w:r>
      <w:r>
        <w:rPr>
          <w:b/>
        </w:rPr>
        <w:t>FedEx 2-Day Express</w:t>
      </w:r>
      <w:r>
        <w:t xml:space="preserve"> (Continental US) or </w:t>
      </w:r>
      <w:r>
        <w:rPr>
          <w:b/>
        </w:rPr>
        <w:t>DHL Express</w:t>
      </w:r>
      <w:r>
        <w:t xml:space="preserve"> (International) at no additional cost to the customer.</w:t>
      </w:r>
    </w:p>
    <w:p>
      <w:r>
        <w:rPr>
          <w:color w:val="E2E8F0"/>
        </w:rPr>
        <w:t>____________________________________________________</w:t>
      </w:r>
    </w:p>
    <w:p>
      <w:pPr>
        <w:spacing w:before="240" w:after="80"/>
      </w:pPr>
      <w:r>
        <w:rPr>
          <w:rFonts w:ascii="Arial" w:hAnsi="Arial"/>
          <w:b/>
          <w:color w:val="4F46E5"/>
          <w:sz w:val="28"/>
        </w:rPr>
        <w:t>📋 Extended Warranty &amp; Protection Plans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Plan</w:t>
            </w:r>
          </w:p>
        </w:tc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Duration</w:t>
            </w:r>
          </w:p>
        </w:tc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Price</w:t>
            </w:r>
          </w:p>
        </w:tc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Coverage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**Standard** (included)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1 year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Manufacturer defects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**Extended Care**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2 years total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$49/year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Manufacturer defects + 1 accidental damage claim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**Premium Protection**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3 years total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$79/year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All defects + 2 accidental damage claims + battery replacement</w:t>
            </w:r>
          </w:p>
        </w:tc>
      </w:tr>
    </w:tbl>
    <w:p/>
    <w:p>
      <w:pPr>
        <w:spacing w:after="120" w:line="276" w:lineRule="auto"/>
      </w:pPr>
      <w:r>
        <w:t xml:space="preserve">To purchase an extended plan, visit </w:t>
      </w:r>
      <w:r>
        <w:rPr>
          <w:b/>
        </w:rPr>
        <w:t>Settings → Warranty → Upgrade Plan</w:t>
      </w:r>
      <w:r>
        <w:t xml:space="preserve"> or contact your Account Manager.</w:t>
      </w:r>
    </w:p>
    <w:p>
      <w:r>
        <w:rPr>
          <w:color w:val="E2E8F0"/>
        </w:rPr>
        <w:t>____________________________________________________</w:t>
      </w:r>
    </w:p>
    <w:p>
      <w:pPr>
        <w:spacing w:before="240" w:after="80"/>
      </w:pPr>
      <w:r>
        <w:rPr>
          <w:rFonts w:ascii="Arial" w:hAnsi="Arial"/>
          <w:b/>
          <w:color w:val="4F46E5"/>
          <w:sz w:val="28"/>
        </w:rPr>
        <w:t>🔗 Cross-References &amp; Related Wiki Documents</w:t>
      </w:r>
    </w:p>
    <w:p>
      <w:pPr>
        <w:pStyle w:val="ListBullet"/>
        <w:spacing w:after="60"/>
      </w:pPr>
      <w:r>
        <w:t>[Master Wiki Index](../INDEX.md)</w:t>
      </w:r>
    </w:p>
    <w:p>
      <w:pPr>
        <w:pStyle w:val="ListBullet"/>
        <w:spacing w:after="60"/>
      </w:pPr>
      <w:r>
        <w:t>[Customer Support SLA &amp; Escalation Policy](../customer_support/01_sla_and_escalation.md)</w:t>
      </w:r>
    </w:p>
    <w:p>
      <w:pPr>
        <w:pStyle w:val="ListBullet"/>
        <w:spacing w:after="60"/>
      </w:pPr>
      <w:r>
        <w:t>[Subscription Billing &amp; Refund Policy](../billing/02_refund_and_subscription.md)</w:t>
      </w:r>
    </w:p>
    <w:p>
      <w:pPr>
        <w:pStyle w:val="ListBullet"/>
        <w:spacing w:after="60"/>
      </w:pPr>
      <w:r>
        <w:t>[Technical Troubleshooting &amp; FAQ](../technical/03_troubleshooting_faq.md)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