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0F172A"/>
          <w:sz w:val="36"/>
        </w:rPr>
        <w:t>Antigravity Products, Platform Features &amp; Service Catalog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📖 Executive Summary</w:t>
      </w:r>
    </w:p>
    <w:p>
      <w:pPr>
        <w:spacing w:after="120" w:line="276" w:lineRule="auto"/>
      </w:pPr>
      <w:r>
        <w:t xml:space="preserve">Antigravity Technologies offers an enterprise-grade </w:t>
      </w:r>
      <w:r>
        <w:rPr>
          <w:b/>
        </w:rPr>
        <w:t>AI-Powered Knowledge Management &amp; Customer Support Platform</w:t>
      </w:r>
      <w:r>
        <w:t xml:space="preserve"> built on Retrieval-Augmented Generation (RAG) technology. Our platform enables organizations to upload internal documents, automatically index them into a searchable vector knowledge base, and deploy an intelligent AI assistant that answers employee and customer queries with source-cited, factually grounded responses.</w:t>
      </w:r>
    </w:p>
    <w:p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💡 Core Platform Products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1. Antigravity RAG Knowledge Engine</w:t>
      </w:r>
    </w:p>
    <w:p>
      <w:pPr>
        <w:spacing w:after="120" w:line="276" w:lineRule="auto"/>
      </w:pPr>
      <w:r>
        <w:t>The core product — a production-grade RAG pipeline that transforms unstructured documents into an intelligent, searchable AI knowledge base.</w:t>
      </w:r>
    </w:p>
    <w:p>
      <w:pPr>
        <w:spacing w:after="120" w:line="276" w:lineRule="auto"/>
      </w:pPr>
      <w:r/>
      <w:r>
        <w:rPr>
          <w:b/>
        </w:rPr>
        <w:t>Key Capabilities</w:t>
      </w:r>
      <w:r>
        <w:t>:</w:t>
      </w:r>
    </w:p>
    <w:p>
      <w:pPr>
        <w:pStyle w:val="ListBullet"/>
        <w:spacing w:after="60"/>
      </w:pPr>
      <w:r/>
      <w:r>
        <w:rPr>
          <w:b/>
        </w:rPr>
        <w:t>Multi-Format Document Ingestion</w:t>
      </w:r>
      <w:r>
        <w:t>: Upload PDF, DOCX, TXT, and Markdown files up to 25 MB each</w:t>
      </w:r>
    </w:p>
    <w:p>
      <w:pPr>
        <w:pStyle w:val="ListBullet"/>
        <w:spacing w:after="60"/>
      </w:pPr>
      <w:r/>
      <w:r>
        <w:rPr>
          <w:b/>
        </w:rPr>
        <w:t>Automatic Text Chunking</w:t>
      </w:r>
      <w:r>
        <w:t>: Recursive character text splitting (800-char chunks, 150-char overlap) for optimal retrieval</w:t>
      </w:r>
    </w:p>
    <w:p>
      <w:pPr>
        <w:pStyle w:val="ListBullet"/>
        <w:spacing w:after="60"/>
      </w:pPr>
      <w:r/>
      <w:r>
        <w:rPr>
          <w:b/>
        </w:rPr>
        <w:t>Vector Embedding &amp; Indexing</w:t>
      </w:r>
      <w:r>
        <w:t>: Documents are embedded into 768-dimensional vectors and stored in PostgreSQL with pgvector for blazing-fast cosine similarity search</w:t>
      </w:r>
    </w:p>
    <w:p>
      <w:pPr>
        <w:pStyle w:val="ListBullet"/>
        <w:spacing w:after="60"/>
      </w:pPr>
      <w:r/>
      <w:r>
        <w:rPr>
          <w:b/>
        </w:rPr>
        <w:t>Open Knowledge Format (OKF)</w:t>
      </w:r>
      <w:r>
        <w:t>: Proprietary structured Markdown format with YAML frontmatter for enterprise wiki-style knowledge organization</w:t>
      </w:r>
    </w:p>
    <w:p>
      <w:pPr>
        <w:pStyle w:val="ListBullet"/>
        <w:spacing w:after="60"/>
      </w:pPr>
      <w:r/>
      <w:r>
        <w:rPr>
          <w:b/>
        </w:rPr>
        <w:t>Real-Time Similarity Search</w:t>
      </w:r>
      <w:r>
        <w:t>: Sub-50ms vector similarity queries using HNSW indexing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2. Smart AI Multi-LLM Router</w:t>
      </w:r>
    </w:p>
    <w:p>
      <w:pPr>
        <w:spacing w:after="120" w:line="276" w:lineRule="auto"/>
      </w:pPr>
      <w:r>
        <w:t>An intelligent, fault-tolerant LLM orchestration layer that routes queries across multiple AI providers for maximum uptime and minimum latency.</w:t>
      </w:r>
    </w:p>
    <w:p>
      <w:pPr>
        <w:spacing w:after="120" w:line="276" w:lineRule="auto"/>
      </w:pPr>
      <w:r/>
      <w:r>
        <w:rPr>
          <w:b/>
        </w:rPr>
        <w:t>Key Capabilities</w:t>
      </w:r>
      <w:r>
        <w:t>:</w:t>
      </w:r>
    </w:p>
    <w:p>
      <w:pPr>
        <w:pStyle w:val="ListBullet"/>
        <w:spacing w:after="60"/>
      </w:pPr>
      <w:r/>
      <w:r>
        <w:rPr>
          <w:b/>
        </w:rPr>
        <w:t>3 LLM Providers</w:t>
      </w:r>
      <w:r>
        <w:t>: Groq Cloud (Llama 3.3 70B), Google Gemini (2.0 Flash), OpenRouter (DeepSeek R1, Mistral, Qwen)</w:t>
      </w:r>
    </w:p>
    <w:p>
      <w:pPr>
        <w:pStyle w:val="ListBullet"/>
        <w:spacing w:after="60"/>
      </w:pPr>
      <w:r/>
      <w:r>
        <w:rPr>
          <w:b/>
        </w:rPr>
        <w:t>Automatic Failover</w:t>
      </w:r>
      <w:r>
        <w:t>: If a provider returns HTTP 429 (rate limit) or fails, the router instantly switches to the next healthy provider</w:t>
      </w:r>
    </w:p>
    <w:p>
      <w:pPr>
        <w:pStyle w:val="ListBullet"/>
        <w:spacing w:after="60"/>
      </w:pPr>
      <w:r/>
      <w:r>
        <w:rPr>
          <w:b/>
        </w:rPr>
        <w:t>2-Hour Cooldown</w:t>
      </w:r>
      <w:r>
        <w:t>: Rate-limited providers are automatically placed on a 2-hour cooldown</w:t>
      </w:r>
    </w:p>
    <w:p>
      <w:pPr>
        <w:pStyle w:val="ListBullet"/>
        <w:spacing w:after="60"/>
      </w:pPr>
      <w:r/>
      <w:r>
        <w:rPr>
          <w:b/>
        </w:rPr>
        <w:t>Sub-300ms Latency</w:t>
      </w:r>
      <w:r>
        <w:t>: Groq Cloud primary provider delivers responses in under 300 milliseconds</w:t>
      </w:r>
    </w:p>
    <w:p>
      <w:pPr>
        <w:pStyle w:val="ListBullet"/>
        <w:spacing w:after="60"/>
      </w:pPr>
      <w:r/>
      <w:r>
        <w:rPr>
          <w:b/>
        </w:rPr>
        <w:t>Routing Strategies</w:t>
      </w:r>
      <w:r>
        <w:t>: Smart (latency + health optimized), Round-Robin, Priority Fallback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3. AI Chat Assistant</w:t>
      </w:r>
    </w:p>
    <w:p>
      <w:pPr>
        <w:spacing w:after="120" w:line="276" w:lineRule="auto"/>
      </w:pPr>
      <w:r>
        <w:t>A beautiful, modern chat interface where users can ask questions and receive instant, source-cited answers from the knowledge base.</w:t>
      </w:r>
    </w:p>
    <w:p>
      <w:pPr>
        <w:spacing w:after="120" w:line="276" w:lineRule="auto"/>
      </w:pPr>
      <w:r/>
      <w:r>
        <w:rPr>
          <w:b/>
        </w:rPr>
        <w:t>Key Capabilities</w:t>
      </w:r>
      <w:r>
        <w:t>:</w:t>
      </w:r>
    </w:p>
    <w:p>
      <w:pPr>
        <w:pStyle w:val="ListBullet"/>
        <w:spacing w:after="60"/>
      </w:pPr>
      <w:r/>
      <w:r>
        <w:rPr>
          <w:b/>
        </w:rPr>
        <w:t>Structured OKF Responses</w:t>
      </w:r>
      <w:r>
        <w:t>: Answers formatted with Executive Summary, Key Specifications, and Actionable Next Steps</w:t>
      </w:r>
    </w:p>
    <w:p>
      <w:pPr>
        <w:pStyle w:val="ListBullet"/>
        <w:spacing w:after="60"/>
      </w:pPr>
      <w:r/>
      <w:r>
        <w:rPr>
          <w:b/>
        </w:rPr>
        <w:t>Source Citations</w:t>
      </w:r>
      <w:r>
        <w:t>: Every answer includes clickable citation badges showing the exact document chunks used</w:t>
      </w:r>
    </w:p>
    <w:p>
      <w:pPr>
        <w:pStyle w:val="ListBullet"/>
        <w:spacing w:after="60"/>
      </w:pPr>
      <w:r/>
      <w:r>
        <w:rPr>
          <w:b/>
        </w:rPr>
        <w:t>LLM Telemetry</w:t>
      </w:r>
      <w:r>
        <w:t>: Real-time badge showing which provider, model, and latency served each response</w:t>
      </w:r>
    </w:p>
    <w:p>
      <w:pPr>
        <w:pStyle w:val="ListBullet"/>
        <w:spacing w:after="60"/>
      </w:pPr>
      <w:r/>
      <w:r>
        <w:rPr>
          <w:b/>
        </w:rPr>
        <w:t>Suggested Prompts</w:t>
      </w:r>
      <w:r>
        <w:t>: Pre-built prompt suggestions for common queries</w:t>
      </w:r>
    </w:p>
    <w:p>
      <w:pPr>
        <w:pStyle w:val="ListBullet"/>
        <w:spacing w:after="60"/>
      </w:pPr>
      <w:r/>
      <w:r>
        <w:rPr>
          <w:b/>
        </w:rPr>
        <w:t>Markdown Rendering</w:t>
      </w:r>
      <w:r>
        <w:t>: Rich formatting with tables, code blocks, bullet points, and headers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4. Admin Analytics Dashboard</w:t>
      </w:r>
    </w:p>
    <w:p>
      <w:pPr>
        <w:spacing w:after="120" w:line="276" w:lineRule="auto"/>
      </w:pPr>
      <w:r>
        <w:t>Real-time operational intelligence for monitoring platform health, query patterns, and knowledge gaps.</w:t>
      </w:r>
    </w:p>
    <w:p>
      <w:pPr>
        <w:spacing w:after="120" w:line="276" w:lineRule="auto"/>
      </w:pPr>
      <w:r/>
      <w:r>
        <w:rPr>
          <w:b/>
        </w:rPr>
        <w:t>Key Capabilities</w:t>
      </w:r>
      <w:r>
        <w:t>:</w:t>
      </w:r>
    </w:p>
    <w:p>
      <w:pPr>
        <w:pStyle w:val="ListBullet"/>
        <w:spacing w:after="60"/>
      </w:pPr>
      <w:r/>
      <w:r>
        <w:rPr>
          <w:b/>
        </w:rPr>
        <w:t>Live Query Metrics</w:t>
      </w:r>
      <w:r>
        <w:t>: Total queries, average response latency, document count, vector chunk count</w:t>
      </w:r>
    </w:p>
    <w:p>
      <w:pPr>
        <w:pStyle w:val="ListBullet"/>
        <w:spacing w:after="60"/>
      </w:pPr>
      <w:r/>
      <w:r>
        <w:rPr>
          <w:b/>
        </w:rPr>
        <w:t>Provider Health Monitoring</w:t>
      </w:r>
      <w:r>
        <w:t>: Real-time status badges for each LLM provider</w:t>
      </w:r>
    </w:p>
    <w:p>
      <w:pPr>
        <w:pStyle w:val="ListBullet"/>
        <w:spacing w:after="60"/>
      </w:pPr>
      <w:r/>
      <w:r>
        <w:rPr>
          <w:b/>
        </w:rPr>
        <w:t>Unanswered Questions</w:t>
      </w:r>
      <w:r>
        <w:t>: Automatic logging of queries that found no matching knowledge base chunks</w:t>
      </w:r>
    </w:p>
    <w:p>
      <w:pPr>
        <w:pStyle w:val="ListBullet"/>
        <w:spacing w:after="60"/>
      </w:pPr>
      <w:r/>
      <w:r>
        <w:rPr>
          <w:b/>
        </w:rPr>
        <w:t>Usage Trends</w:t>
      </w:r>
      <w:r>
        <w:t>: Historical query volume and latency trends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5. Document Management System</w:t>
      </w:r>
    </w:p>
    <w:p>
      <w:pPr>
        <w:spacing w:after="120" w:line="276" w:lineRule="auto"/>
      </w:pPr>
      <w:r>
        <w:t>A full-featured admin interface for managing the knowledge base lifecycle.</w:t>
      </w:r>
    </w:p>
    <w:p>
      <w:pPr>
        <w:spacing w:after="120" w:line="276" w:lineRule="auto"/>
      </w:pPr>
      <w:r/>
      <w:r>
        <w:rPr>
          <w:b/>
        </w:rPr>
        <w:t>Key Capabilities</w:t>
      </w:r>
      <w:r>
        <w:t>:</w:t>
      </w:r>
    </w:p>
    <w:p>
      <w:pPr>
        <w:pStyle w:val="ListBullet"/>
        <w:spacing w:after="60"/>
      </w:pPr>
      <w:r/>
      <w:r>
        <w:rPr>
          <w:b/>
        </w:rPr>
        <w:t>Drag &amp; Drop Upload</w:t>
      </w:r>
      <w:r>
        <w:t>: Upload multiple documents simultaneously</w:t>
      </w:r>
    </w:p>
    <w:p>
      <w:pPr>
        <w:pStyle w:val="ListBullet"/>
        <w:spacing w:after="60"/>
      </w:pPr>
      <w:r/>
      <w:r>
        <w:rPr>
          <w:b/>
        </w:rPr>
        <w:t>OKF Detection</w:t>
      </w:r>
      <w:r>
        <w:t>: Automatic detection of Open Knowledge Format documents with YAML frontmatter</w:t>
      </w:r>
    </w:p>
    <w:p>
      <w:pPr>
        <w:pStyle w:val="ListBullet"/>
        <w:spacing w:after="60"/>
      </w:pPr>
      <w:r/>
      <w:r>
        <w:rPr>
          <w:b/>
        </w:rPr>
        <w:t>Category Tagging</w:t>
      </w:r>
      <w:r>
        <w:t>: Organize documents by category (customer support, billing, technical, returns)</w:t>
      </w:r>
    </w:p>
    <w:p>
      <w:pPr>
        <w:pStyle w:val="ListBullet"/>
        <w:spacing w:after="60"/>
      </w:pPr>
      <w:r/>
      <w:r>
        <w:rPr>
          <w:b/>
        </w:rPr>
        <w:t>Chunk Inspector</w:t>
      </w:r>
      <w:r>
        <w:t>: View individual text chunks and their embedding status</w:t>
      </w:r>
    </w:p>
    <w:p>
      <w:pPr>
        <w:pStyle w:val="ListBullet"/>
        <w:spacing w:after="60"/>
      </w:pPr>
      <w:r/>
      <w:r>
        <w:rPr>
          <w:b/>
        </w:rPr>
        <w:t>Bulk Operations</w:t>
      </w:r>
      <w:r>
        <w:t>: Delete multiple documents and their associated vector chunks</w:t>
      </w:r>
    </w:p>
    <w:p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🏗️ Professional Services</w:t>
      </w:r>
    </w:p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Implementation &amp;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Service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Included In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Description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**Self-Service Setup**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All plans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Documentation, setup guides, and community support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**Guided Onboarding**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Pro + Enterprise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1-hour video call with Solutions Architect for initial setup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**Custom Integration**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Enterprise only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API integration with existing CRM, helpdesk, or internal tools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**Data Migration**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Enterprise only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Migration of existing knowledge base from Confluence, Notion, SharePoint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**Custom Model Training**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Enterprise only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Fine-tuning of embedding models on customer-specific terminology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F172A"/>
          <w:sz w:val="24"/>
        </w:rPr>
        <w:t>Training &amp; Enablement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Program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Format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Duration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Price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**Admin Training**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Live video workshop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2 hours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Included (Pro + Enterprise)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**Advanced RAG Workshop**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In-person or virtual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Full day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$1,500 per session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**Custom Documentation**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Tailored user guides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1–2 weeks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Custom quote</w:t>
            </w:r>
          </w:p>
        </w:tc>
      </w:tr>
    </w:tbl>
    <w:p/>
    <w:p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📞 Contact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Department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Email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Phone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**Sales &amp; Pricing**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sales@antigravity.ai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+1 (888) 555-ANTI ext. 100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**Technical Support**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support@antigravity.ai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+1 (888) 555-ANTI ext. 200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**Billing &amp; Accounts**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billing@antigravity.ai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+1 (888) 555-ANTI ext. 300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**Enterprise Partnerships**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enterprise@antigravity.ai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Direct line assigned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**Security &amp; Privacy**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security@antigravity.ai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**Press &amp; Media**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press@antigravity.ai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before="0"/>
            </w:pPr>
            <w:r>
              <w:rPr>
                <w:sz w:val="19"/>
              </w:rPr>
              <w:t>—</w:t>
            </w:r>
          </w:p>
        </w:tc>
      </w:tr>
    </w:tbl>
    <w:p/>
    <w:p>
      <w:r>
        <w:rPr>
          <w:color w:val="E2E8F0"/>
        </w:rPr>
        <w:t>____________________________________________________</w:t>
      </w:r>
    </w:p>
    <w:p>
      <w:pPr>
        <w:spacing w:before="240" w:after="80"/>
      </w:pPr>
      <w:r>
        <w:rPr>
          <w:rFonts w:ascii="Arial" w:hAnsi="Arial"/>
          <w:b/>
          <w:color w:val="4F46E5"/>
          <w:sz w:val="28"/>
        </w:rPr>
        <w:t>🔗 Cross-References &amp; Related Wiki Documents</w:t>
      </w:r>
    </w:p>
    <w:p>
      <w:pPr>
        <w:pStyle w:val="ListBullet"/>
        <w:spacing w:after="60"/>
      </w:pPr>
      <w:r>
        <w:t>[Master Wiki Index](../INDEX.md)</w:t>
      </w:r>
    </w:p>
    <w:p>
      <w:pPr>
        <w:pStyle w:val="ListBullet"/>
        <w:spacing w:after="60"/>
      </w:pPr>
      <w:r>
        <w:t>[Customer Support SLA &amp; Escalation Policy](../customer_support/01_sla_and_escalation.md)</w:t>
      </w:r>
    </w:p>
    <w:p>
      <w:pPr>
        <w:pStyle w:val="ListBullet"/>
        <w:spacing w:after="60"/>
      </w:pPr>
      <w:r>
        <w:t>[Subscription Billing &amp; Refund Policy](../billing/02_refund_and_subscription.md)</w:t>
      </w:r>
    </w:p>
    <w:p>
      <w:pPr>
        <w:pStyle w:val="ListBullet"/>
        <w:spacing w:after="60"/>
      </w:pPr>
      <w:r>
        <w:t>[Technical Troubleshooting &amp; FAQ](../technical/03_troubleshooting_faq.md)</w:t>
      </w:r>
    </w:p>
    <w:p>
      <w:pPr>
        <w:pStyle w:val="ListBullet"/>
        <w:spacing w:after="60"/>
      </w:pPr>
      <w:r>
        <w:t>[Account Security &amp; Privacy Policy](../security/05_account_security_and_privacy.md)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