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65592" w14:textId="77777777" w:rsidR="00B23B77" w:rsidRDefault="00B23B77" w:rsidP="00B23B77">
      <w:pPr>
        <w:jc w:val="center"/>
        <w:rPr>
          <w:b/>
          <w:bCs/>
          <w:sz w:val="40"/>
          <w:szCs w:val="40"/>
        </w:rPr>
      </w:pPr>
    </w:p>
    <w:p w14:paraId="602D979B" w14:textId="77777777" w:rsidR="00B23B77" w:rsidRDefault="00B23B77" w:rsidP="00B23B77">
      <w:pPr>
        <w:jc w:val="center"/>
        <w:rPr>
          <w:b/>
          <w:bCs/>
          <w:sz w:val="40"/>
          <w:szCs w:val="40"/>
        </w:rPr>
      </w:pPr>
    </w:p>
    <w:p w14:paraId="501DFFC8" w14:textId="77777777" w:rsidR="00B23B77" w:rsidRDefault="00B23B77" w:rsidP="00B23B77">
      <w:pPr>
        <w:jc w:val="center"/>
        <w:rPr>
          <w:b/>
          <w:bCs/>
          <w:sz w:val="40"/>
          <w:szCs w:val="40"/>
        </w:rPr>
      </w:pPr>
    </w:p>
    <w:p w14:paraId="29EA79C5" w14:textId="77777777" w:rsidR="00B23B77" w:rsidRDefault="00B23B77" w:rsidP="00B23B77">
      <w:pPr>
        <w:jc w:val="center"/>
        <w:rPr>
          <w:b/>
          <w:bCs/>
          <w:sz w:val="40"/>
          <w:szCs w:val="40"/>
        </w:rPr>
      </w:pPr>
    </w:p>
    <w:p w14:paraId="234E3370" w14:textId="77777777" w:rsidR="00B23B77" w:rsidRDefault="00B23B77" w:rsidP="00B23B77">
      <w:pPr>
        <w:jc w:val="center"/>
        <w:rPr>
          <w:b/>
          <w:bCs/>
          <w:sz w:val="40"/>
          <w:szCs w:val="40"/>
        </w:rPr>
      </w:pPr>
    </w:p>
    <w:p w14:paraId="0A18245C" w14:textId="77777777" w:rsidR="00B23B77" w:rsidRDefault="00B23B77" w:rsidP="00B23B77">
      <w:pPr>
        <w:jc w:val="center"/>
        <w:rPr>
          <w:b/>
          <w:bCs/>
          <w:sz w:val="40"/>
          <w:szCs w:val="40"/>
        </w:rPr>
      </w:pPr>
    </w:p>
    <w:p w14:paraId="5B379AA3" w14:textId="7E931712" w:rsidR="00B23B77" w:rsidRDefault="005600AE" w:rsidP="00B23B77">
      <w:pPr>
        <w:jc w:val="center"/>
        <w:rPr>
          <w:b/>
          <w:bCs/>
          <w:sz w:val="40"/>
          <w:szCs w:val="40"/>
        </w:rPr>
      </w:pPr>
      <w:r>
        <w:rPr>
          <w:b/>
          <w:bCs/>
          <w:sz w:val="40"/>
          <w:szCs w:val="40"/>
        </w:rPr>
        <w:t>AESO Market Price Data Preparation</w:t>
      </w:r>
    </w:p>
    <w:p w14:paraId="6BE90EF0" w14:textId="7C80775E" w:rsidR="005600AE" w:rsidRDefault="005600AE" w:rsidP="00B23B77">
      <w:pPr>
        <w:jc w:val="center"/>
        <w:rPr>
          <w:b/>
          <w:bCs/>
          <w:sz w:val="40"/>
          <w:szCs w:val="40"/>
        </w:rPr>
      </w:pPr>
      <w:r>
        <w:rPr>
          <w:b/>
          <w:bCs/>
          <w:sz w:val="40"/>
          <w:szCs w:val="40"/>
        </w:rPr>
        <w:t>Data Preparation Tool</w:t>
      </w:r>
    </w:p>
    <w:p w14:paraId="67704CC7" w14:textId="5A3E6368" w:rsidR="005600AE" w:rsidRDefault="005600AE" w:rsidP="00B23B77">
      <w:pPr>
        <w:jc w:val="center"/>
        <w:rPr>
          <w:b/>
          <w:bCs/>
          <w:sz w:val="40"/>
          <w:szCs w:val="40"/>
        </w:rPr>
      </w:pPr>
    </w:p>
    <w:p w14:paraId="267862F3" w14:textId="13B76BF7" w:rsidR="005600AE" w:rsidRDefault="005600AE" w:rsidP="00B23B77">
      <w:pPr>
        <w:jc w:val="center"/>
        <w:rPr>
          <w:b/>
          <w:bCs/>
          <w:sz w:val="40"/>
          <w:szCs w:val="40"/>
        </w:rPr>
      </w:pPr>
      <w:r>
        <w:rPr>
          <w:b/>
          <w:bCs/>
          <w:sz w:val="40"/>
          <w:szCs w:val="40"/>
        </w:rPr>
        <w:t>Austyn Nagribianko</w:t>
      </w:r>
    </w:p>
    <w:p w14:paraId="7EB5A689" w14:textId="19C2E4BC" w:rsidR="005600AE" w:rsidRDefault="005600AE" w:rsidP="00B23B77">
      <w:pPr>
        <w:jc w:val="center"/>
        <w:rPr>
          <w:b/>
          <w:bCs/>
          <w:sz w:val="40"/>
          <w:szCs w:val="40"/>
        </w:rPr>
      </w:pPr>
    </w:p>
    <w:p w14:paraId="64CDC9A6" w14:textId="1017CF01" w:rsidR="005600AE" w:rsidRDefault="005600AE" w:rsidP="00B23B77">
      <w:pPr>
        <w:jc w:val="center"/>
        <w:rPr>
          <w:b/>
          <w:bCs/>
          <w:sz w:val="40"/>
          <w:szCs w:val="40"/>
        </w:rPr>
      </w:pPr>
      <w:r>
        <w:rPr>
          <w:b/>
          <w:bCs/>
          <w:sz w:val="40"/>
          <w:szCs w:val="40"/>
        </w:rPr>
        <w:t>S</w:t>
      </w:r>
      <w:r w:rsidR="00253292">
        <w:rPr>
          <w:b/>
          <w:bCs/>
          <w:sz w:val="40"/>
          <w:szCs w:val="40"/>
        </w:rPr>
        <w:t>upervisor: Hamid Zareipour</w:t>
      </w:r>
    </w:p>
    <w:p w14:paraId="7C6D2590" w14:textId="0246FB1B" w:rsidR="00253292" w:rsidRDefault="00253292" w:rsidP="00B23B77">
      <w:pPr>
        <w:jc w:val="center"/>
        <w:rPr>
          <w:b/>
          <w:bCs/>
          <w:sz w:val="40"/>
          <w:szCs w:val="40"/>
        </w:rPr>
      </w:pPr>
    </w:p>
    <w:p w14:paraId="781BDC99" w14:textId="5FEAD6B7" w:rsidR="00253292" w:rsidRDefault="00253292" w:rsidP="00B23B77">
      <w:pPr>
        <w:jc w:val="center"/>
        <w:rPr>
          <w:b/>
          <w:bCs/>
          <w:sz w:val="40"/>
          <w:szCs w:val="40"/>
        </w:rPr>
      </w:pPr>
    </w:p>
    <w:p w14:paraId="4F3C0212" w14:textId="4C285357" w:rsidR="00253292" w:rsidRDefault="00253292" w:rsidP="00B23B77">
      <w:pPr>
        <w:jc w:val="center"/>
        <w:rPr>
          <w:b/>
          <w:bCs/>
          <w:sz w:val="40"/>
          <w:szCs w:val="40"/>
        </w:rPr>
      </w:pPr>
    </w:p>
    <w:p w14:paraId="42121289" w14:textId="09F42A85" w:rsidR="00253292" w:rsidRPr="003E1CF0" w:rsidRDefault="00253292" w:rsidP="00B23B77">
      <w:pPr>
        <w:jc w:val="center"/>
        <w:rPr>
          <w:b/>
          <w:bCs/>
        </w:rPr>
      </w:pPr>
      <w:r>
        <w:rPr>
          <w:b/>
          <w:bCs/>
          <w:sz w:val="40"/>
          <w:szCs w:val="40"/>
        </w:rPr>
        <w:t>January 14, 2019</w:t>
      </w:r>
    </w:p>
    <w:p w14:paraId="7F344869" w14:textId="77777777" w:rsidR="00F764FE" w:rsidRDefault="00F764FE" w:rsidP="00057553">
      <w:pPr>
        <w:sectPr w:rsidR="00F764FE" w:rsidSect="00F764FE">
          <w:footerReference w:type="default" r:id="rId8"/>
          <w:pgSz w:w="12240" w:h="15840"/>
          <w:pgMar w:top="1440" w:right="1440" w:bottom="1440" w:left="1440" w:header="708" w:footer="708" w:gutter="0"/>
          <w:cols w:space="708"/>
          <w:titlePg/>
          <w:docGrid w:linePitch="360"/>
        </w:sectPr>
      </w:pPr>
    </w:p>
    <w:sdt>
      <w:sdtPr>
        <w:rPr>
          <w:rFonts w:asciiTheme="minorHAnsi" w:eastAsiaTheme="minorHAnsi" w:hAnsiTheme="minorHAnsi" w:cstheme="minorBidi"/>
          <w:color w:val="auto"/>
          <w:sz w:val="22"/>
          <w:szCs w:val="22"/>
          <w:lang w:val="en-CA"/>
        </w:rPr>
        <w:id w:val="1376664643"/>
        <w:docPartObj>
          <w:docPartGallery w:val="Table of Contents"/>
          <w:docPartUnique/>
        </w:docPartObj>
      </w:sdtPr>
      <w:sdtEndPr>
        <w:rPr>
          <w:b/>
          <w:bCs/>
          <w:noProof/>
        </w:rPr>
      </w:sdtEndPr>
      <w:sdtContent>
        <w:p w14:paraId="13CAE540" w14:textId="77777777" w:rsidR="00F764FE" w:rsidRDefault="00F764FE">
          <w:pPr>
            <w:pStyle w:val="TOCHeading"/>
          </w:pPr>
          <w:r>
            <w:t>Table of Contents</w:t>
          </w:r>
        </w:p>
        <w:p w14:paraId="40A9C71B" w14:textId="2395EE74" w:rsidR="004C7E7D" w:rsidRDefault="00B23B77">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30588454" w:history="1">
            <w:r w:rsidR="004C7E7D" w:rsidRPr="00832499">
              <w:rPr>
                <w:rStyle w:val="Hyperlink"/>
                <w:noProof/>
              </w:rPr>
              <w:t>Project Introduction</w:t>
            </w:r>
            <w:r w:rsidR="004C7E7D">
              <w:rPr>
                <w:noProof/>
                <w:webHidden/>
              </w:rPr>
              <w:tab/>
            </w:r>
            <w:r w:rsidR="004C7E7D">
              <w:rPr>
                <w:noProof/>
                <w:webHidden/>
              </w:rPr>
              <w:fldChar w:fldCharType="begin"/>
            </w:r>
            <w:r w:rsidR="004C7E7D">
              <w:rPr>
                <w:noProof/>
                <w:webHidden/>
              </w:rPr>
              <w:instrText xml:space="preserve"> PAGEREF _Toc30588454 \h </w:instrText>
            </w:r>
            <w:r w:rsidR="004C7E7D">
              <w:rPr>
                <w:noProof/>
                <w:webHidden/>
              </w:rPr>
            </w:r>
            <w:r w:rsidR="004C7E7D">
              <w:rPr>
                <w:noProof/>
                <w:webHidden/>
              </w:rPr>
              <w:fldChar w:fldCharType="separate"/>
            </w:r>
            <w:r w:rsidR="009B0EB8">
              <w:rPr>
                <w:noProof/>
                <w:webHidden/>
              </w:rPr>
              <w:t>1</w:t>
            </w:r>
            <w:r w:rsidR="004C7E7D">
              <w:rPr>
                <w:noProof/>
                <w:webHidden/>
              </w:rPr>
              <w:fldChar w:fldCharType="end"/>
            </w:r>
          </w:hyperlink>
        </w:p>
        <w:p w14:paraId="4C483D3C" w14:textId="1BD40B88" w:rsidR="004C7E7D" w:rsidRDefault="004C7E7D">
          <w:pPr>
            <w:pStyle w:val="TOC1"/>
            <w:tabs>
              <w:tab w:val="right" w:leader="dot" w:pos="9350"/>
            </w:tabs>
            <w:rPr>
              <w:rFonts w:eastAsiaTheme="minorEastAsia"/>
              <w:noProof/>
              <w:lang w:eastAsia="en-CA"/>
            </w:rPr>
          </w:pPr>
          <w:hyperlink w:anchor="_Toc30588455" w:history="1">
            <w:r w:rsidRPr="00832499">
              <w:rPr>
                <w:rStyle w:val="Hyperlink"/>
                <w:noProof/>
              </w:rPr>
              <w:t>Technical Specifications</w:t>
            </w:r>
            <w:r>
              <w:rPr>
                <w:noProof/>
                <w:webHidden/>
              </w:rPr>
              <w:tab/>
            </w:r>
            <w:r>
              <w:rPr>
                <w:noProof/>
                <w:webHidden/>
              </w:rPr>
              <w:fldChar w:fldCharType="begin"/>
            </w:r>
            <w:r>
              <w:rPr>
                <w:noProof/>
                <w:webHidden/>
              </w:rPr>
              <w:instrText xml:space="preserve"> PAGEREF _Toc30588455 \h </w:instrText>
            </w:r>
            <w:r>
              <w:rPr>
                <w:noProof/>
                <w:webHidden/>
              </w:rPr>
            </w:r>
            <w:r>
              <w:rPr>
                <w:noProof/>
                <w:webHidden/>
              </w:rPr>
              <w:fldChar w:fldCharType="separate"/>
            </w:r>
            <w:r w:rsidR="009B0EB8">
              <w:rPr>
                <w:noProof/>
                <w:webHidden/>
              </w:rPr>
              <w:t>1</w:t>
            </w:r>
            <w:r>
              <w:rPr>
                <w:noProof/>
                <w:webHidden/>
              </w:rPr>
              <w:fldChar w:fldCharType="end"/>
            </w:r>
          </w:hyperlink>
        </w:p>
        <w:p w14:paraId="0A620C41" w14:textId="7A1FB2C3" w:rsidR="004C7E7D" w:rsidRDefault="004C7E7D">
          <w:pPr>
            <w:pStyle w:val="TOC2"/>
            <w:tabs>
              <w:tab w:val="right" w:leader="dot" w:pos="9350"/>
            </w:tabs>
            <w:rPr>
              <w:rFonts w:eastAsiaTheme="minorEastAsia"/>
              <w:noProof/>
              <w:lang w:eastAsia="en-CA"/>
            </w:rPr>
          </w:pPr>
          <w:hyperlink w:anchor="_Toc30588456" w:history="1">
            <w:r w:rsidRPr="00832499">
              <w:rPr>
                <w:rStyle w:val="Hyperlink"/>
                <w:noProof/>
              </w:rPr>
              <w:t>Program Settings</w:t>
            </w:r>
            <w:r>
              <w:rPr>
                <w:noProof/>
                <w:webHidden/>
              </w:rPr>
              <w:tab/>
            </w:r>
            <w:r>
              <w:rPr>
                <w:noProof/>
                <w:webHidden/>
              </w:rPr>
              <w:fldChar w:fldCharType="begin"/>
            </w:r>
            <w:r>
              <w:rPr>
                <w:noProof/>
                <w:webHidden/>
              </w:rPr>
              <w:instrText xml:space="preserve"> PAGEREF _Toc30588456 \h </w:instrText>
            </w:r>
            <w:r>
              <w:rPr>
                <w:noProof/>
                <w:webHidden/>
              </w:rPr>
            </w:r>
            <w:r>
              <w:rPr>
                <w:noProof/>
                <w:webHidden/>
              </w:rPr>
              <w:fldChar w:fldCharType="separate"/>
            </w:r>
            <w:r w:rsidR="009B0EB8">
              <w:rPr>
                <w:noProof/>
                <w:webHidden/>
              </w:rPr>
              <w:t>1</w:t>
            </w:r>
            <w:r>
              <w:rPr>
                <w:noProof/>
                <w:webHidden/>
              </w:rPr>
              <w:fldChar w:fldCharType="end"/>
            </w:r>
          </w:hyperlink>
        </w:p>
        <w:p w14:paraId="6E7CCAD7" w14:textId="5330E54D" w:rsidR="004C7E7D" w:rsidRDefault="004C7E7D">
          <w:pPr>
            <w:pStyle w:val="TOC1"/>
            <w:tabs>
              <w:tab w:val="right" w:leader="dot" w:pos="9350"/>
            </w:tabs>
            <w:rPr>
              <w:rFonts w:eastAsiaTheme="minorEastAsia"/>
              <w:noProof/>
              <w:lang w:eastAsia="en-CA"/>
            </w:rPr>
          </w:pPr>
          <w:hyperlink w:anchor="_Toc30588457" w:history="1">
            <w:r w:rsidRPr="00832499">
              <w:rPr>
                <w:rStyle w:val="Hyperlink"/>
                <w:noProof/>
              </w:rPr>
              <w:t>Data Output</w:t>
            </w:r>
            <w:r>
              <w:rPr>
                <w:noProof/>
                <w:webHidden/>
              </w:rPr>
              <w:tab/>
            </w:r>
            <w:r>
              <w:rPr>
                <w:noProof/>
                <w:webHidden/>
              </w:rPr>
              <w:fldChar w:fldCharType="begin"/>
            </w:r>
            <w:r>
              <w:rPr>
                <w:noProof/>
                <w:webHidden/>
              </w:rPr>
              <w:instrText xml:space="preserve"> PAGEREF _Toc30588457 \h </w:instrText>
            </w:r>
            <w:r>
              <w:rPr>
                <w:noProof/>
                <w:webHidden/>
              </w:rPr>
            </w:r>
            <w:r>
              <w:rPr>
                <w:noProof/>
                <w:webHidden/>
              </w:rPr>
              <w:fldChar w:fldCharType="separate"/>
            </w:r>
            <w:r w:rsidR="009B0EB8">
              <w:rPr>
                <w:noProof/>
                <w:webHidden/>
              </w:rPr>
              <w:t>2</w:t>
            </w:r>
            <w:r>
              <w:rPr>
                <w:noProof/>
                <w:webHidden/>
              </w:rPr>
              <w:fldChar w:fldCharType="end"/>
            </w:r>
          </w:hyperlink>
        </w:p>
        <w:p w14:paraId="447E80E8" w14:textId="55F56F54" w:rsidR="004C7E7D" w:rsidRDefault="004C7E7D">
          <w:pPr>
            <w:pStyle w:val="TOC2"/>
            <w:tabs>
              <w:tab w:val="right" w:leader="dot" w:pos="9350"/>
            </w:tabs>
            <w:rPr>
              <w:rFonts w:eastAsiaTheme="minorEastAsia"/>
              <w:noProof/>
              <w:lang w:eastAsia="en-CA"/>
            </w:rPr>
          </w:pPr>
          <w:hyperlink w:anchor="_Toc30588458" w:history="1">
            <w:r w:rsidRPr="00832499">
              <w:rPr>
                <w:rStyle w:val="Hyperlink"/>
                <w:noProof/>
              </w:rPr>
              <w:t>Event Data</w:t>
            </w:r>
            <w:r>
              <w:rPr>
                <w:noProof/>
                <w:webHidden/>
              </w:rPr>
              <w:tab/>
            </w:r>
            <w:r>
              <w:rPr>
                <w:noProof/>
                <w:webHidden/>
              </w:rPr>
              <w:fldChar w:fldCharType="begin"/>
            </w:r>
            <w:r>
              <w:rPr>
                <w:noProof/>
                <w:webHidden/>
              </w:rPr>
              <w:instrText xml:space="preserve"> PAGEREF _Toc30588458 \h </w:instrText>
            </w:r>
            <w:r>
              <w:rPr>
                <w:noProof/>
                <w:webHidden/>
              </w:rPr>
            </w:r>
            <w:r>
              <w:rPr>
                <w:noProof/>
                <w:webHidden/>
              </w:rPr>
              <w:fldChar w:fldCharType="separate"/>
            </w:r>
            <w:r w:rsidR="009B0EB8">
              <w:rPr>
                <w:noProof/>
                <w:webHidden/>
              </w:rPr>
              <w:t>2</w:t>
            </w:r>
            <w:r>
              <w:rPr>
                <w:noProof/>
                <w:webHidden/>
              </w:rPr>
              <w:fldChar w:fldCharType="end"/>
            </w:r>
          </w:hyperlink>
        </w:p>
        <w:p w14:paraId="44242636" w14:textId="3FA17D90" w:rsidR="004C7E7D" w:rsidRDefault="004C7E7D">
          <w:pPr>
            <w:pStyle w:val="TOC2"/>
            <w:tabs>
              <w:tab w:val="right" w:leader="dot" w:pos="9350"/>
            </w:tabs>
            <w:rPr>
              <w:rFonts w:eastAsiaTheme="minorEastAsia"/>
              <w:noProof/>
              <w:lang w:eastAsia="en-CA"/>
            </w:rPr>
          </w:pPr>
          <w:hyperlink w:anchor="_Toc30588459" w:history="1">
            <w:r w:rsidRPr="00832499">
              <w:rPr>
                <w:rStyle w:val="Hyperlink"/>
                <w:noProof/>
              </w:rPr>
              <w:t>Prepped Files</w:t>
            </w:r>
            <w:r>
              <w:rPr>
                <w:noProof/>
                <w:webHidden/>
              </w:rPr>
              <w:tab/>
            </w:r>
            <w:r>
              <w:rPr>
                <w:noProof/>
                <w:webHidden/>
              </w:rPr>
              <w:fldChar w:fldCharType="begin"/>
            </w:r>
            <w:r>
              <w:rPr>
                <w:noProof/>
                <w:webHidden/>
              </w:rPr>
              <w:instrText xml:space="preserve"> PAGEREF _Toc30588459 \h </w:instrText>
            </w:r>
            <w:r>
              <w:rPr>
                <w:noProof/>
                <w:webHidden/>
              </w:rPr>
            </w:r>
            <w:r>
              <w:rPr>
                <w:noProof/>
                <w:webHidden/>
              </w:rPr>
              <w:fldChar w:fldCharType="separate"/>
            </w:r>
            <w:r w:rsidR="009B0EB8">
              <w:rPr>
                <w:noProof/>
                <w:webHidden/>
              </w:rPr>
              <w:t>2</w:t>
            </w:r>
            <w:r>
              <w:rPr>
                <w:noProof/>
                <w:webHidden/>
              </w:rPr>
              <w:fldChar w:fldCharType="end"/>
            </w:r>
          </w:hyperlink>
        </w:p>
        <w:p w14:paraId="39DACEF8" w14:textId="02E8FCC5" w:rsidR="004C7E7D" w:rsidRDefault="004C7E7D">
          <w:pPr>
            <w:pStyle w:val="TOC1"/>
            <w:tabs>
              <w:tab w:val="right" w:leader="dot" w:pos="9350"/>
            </w:tabs>
            <w:rPr>
              <w:rFonts w:eastAsiaTheme="minorEastAsia"/>
              <w:noProof/>
              <w:lang w:eastAsia="en-CA"/>
            </w:rPr>
          </w:pPr>
          <w:hyperlink w:anchor="_Toc30588460" w:history="1">
            <w:r w:rsidRPr="00832499">
              <w:rPr>
                <w:rStyle w:val="Hyperlink"/>
                <w:noProof/>
              </w:rPr>
              <w:t>Instructions for Use</w:t>
            </w:r>
            <w:r>
              <w:rPr>
                <w:noProof/>
                <w:webHidden/>
              </w:rPr>
              <w:tab/>
            </w:r>
            <w:r>
              <w:rPr>
                <w:noProof/>
                <w:webHidden/>
              </w:rPr>
              <w:fldChar w:fldCharType="begin"/>
            </w:r>
            <w:r>
              <w:rPr>
                <w:noProof/>
                <w:webHidden/>
              </w:rPr>
              <w:instrText xml:space="preserve"> PAGEREF _Toc30588460 \h </w:instrText>
            </w:r>
            <w:r>
              <w:rPr>
                <w:noProof/>
                <w:webHidden/>
              </w:rPr>
            </w:r>
            <w:r>
              <w:rPr>
                <w:noProof/>
                <w:webHidden/>
              </w:rPr>
              <w:fldChar w:fldCharType="separate"/>
            </w:r>
            <w:r w:rsidR="009B0EB8">
              <w:rPr>
                <w:noProof/>
                <w:webHidden/>
              </w:rPr>
              <w:t>3</w:t>
            </w:r>
            <w:r>
              <w:rPr>
                <w:noProof/>
                <w:webHidden/>
              </w:rPr>
              <w:fldChar w:fldCharType="end"/>
            </w:r>
          </w:hyperlink>
        </w:p>
        <w:p w14:paraId="1A42C268" w14:textId="0C08F1DB" w:rsidR="004C7E7D" w:rsidRDefault="004C7E7D">
          <w:pPr>
            <w:pStyle w:val="TOC1"/>
            <w:tabs>
              <w:tab w:val="right" w:leader="dot" w:pos="9350"/>
            </w:tabs>
            <w:rPr>
              <w:rFonts w:eastAsiaTheme="minorEastAsia"/>
              <w:noProof/>
              <w:lang w:eastAsia="en-CA"/>
            </w:rPr>
          </w:pPr>
          <w:hyperlink w:anchor="_Toc30588461" w:history="1">
            <w:r w:rsidRPr="00832499">
              <w:rPr>
                <w:rStyle w:val="Hyperlink"/>
                <w:noProof/>
              </w:rPr>
              <w:t>Suggestions for Continued Development</w:t>
            </w:r>
            <w:r>
              <w:rPr>
                <w:noProof/>
                <w:webHidden/>
              </w:rPr>
              <w:tab/>
            </w:r>
            <w:r>
              <w:rPr>
                <w:noProof/>
                <w:webHidden/>
              </w:rPr>
              <w:fldChar w:fldCharType="begin"/>
            </w:r>
            <w:r>
              <w:rPr>
                <w:noProof/>
                <w:webHidden/>
              </w:rPr>
              <w:instrText xml:space="preserve"> PAGEREF _Toc30588461 \h </w:instrText>
            </w:r>
            <w:r>
              <w:rPr>
                <w:noProof/>
                <w:webHidden/>
              </w:rPr>
            </w:r>
            <w:r>
              <w:rPr>
                <w:noProof/>
                <w:webHidden/>
              </w:rPr>
              <w:fldChar w:fldCharType="separate"/>
            </w:r>
            <w:r w:rsidR="009B0EB8">
              <w:rPr>
                <w:noProof/>
                <w:webHidden/>
              </w:rPr>
              <w:t>3</w:t>
            </w:r>
            <w:r>
              <w:rPr>
                <w:noProof/>
                <w:webHidden/>
              </w:rPr>
              <w:fldChar w:fldCharType="end"/>
            </w:r>
          </w:hyperlink>
        </w:p>
        <w:p w14:paraId="716E624F" w14:textId="0E28E01C" w:rsidR="00F764FE" w:rsidRDefault="00B23B77">
          <w:r>
            <w:rPr>
              <w:b/>
              <w:bCs/>
              <w:noProof/>
              <w:lang w:val="en-US"/>
            </w:rPr>
            <w:fldChar w:fldCharType="end"/>
          </w:r>
        </w:p>
      </w:sdtContent>
    </w:sdt>
    <w:p w14:paraId="32BE65AA" w14:textId="77777777" w:rsidR="00F764FE" w:rsidRDefault="00F764FE">
      <w:pPr>
        <w:sectPr w:rsidR="00F764FE" w:rsidSect="00F764FE">
          <w:headerReference w:type="default" r:id="rId9"/>
          <w:pgSz w:w="12240" w:h="15840"/>
          <w:pgMar w:top="1440" w:right="1440" w:bottom="1440" w:left="1440" w:header="708" w:footer="708" w:gutter="0"/>
          <w:pgNumType w:fmt="lowerRoman" w:start="1"/>
          <w:cols w:space="708"/>
          <w:docGrid w:linePitch="360"/>
        </w:sectPr>
      </w:pPr>
    </w:p>
    <w:p w14:paraId="4D4EF310" w14:textId="2E5B1F7A" w:rsidR="00B23B77" w:rsidRDefault="00253292" w:rsidP="00B23B77">
      <w:pPr>
        <w:pStyle w:val="Heading1"/>
      </w:pPr>
      <w:bookmarkStart w:id="0" w:name="_Toc30588454"/>
      <w:r>
        <w:lastRenderedPageBreak/>
        <w:t>Project Introduction</w:t>
      </w:r>
      <w:bookmarkEnd w:id="0"/>
    </w:p>
    <w:p w14:paraId="78D357D2" w14:textId="72C197ED" w:rsidR="00F84E85" w:rsidRPr="00F84E85" w:rsidRDefault="00F84E85" w:rsidP="00F84E85">
      <w:r>
        <w:t xml:space="preserve">The motivation for this project was to develop a tool that reports the market price response and metrics to AESO grid events. The project aims to produce a tool for identifying potential areas of interest in forecasting the system marginal price (SMP) and pool price especially during price events (ie &gt;$200 / MW). </w:t>
      </w:r>
    </w:p>
    <w:p w14:paraId="23D96869" w14:textId="07EE62C0" w:rsidR="00253292" w:rsidRDefault="00F84E85" w:rsidP="00253292">
      <w:pPr>
        <w:pStyle w:val="Heading1"/>
      </w:pPr>
      <w:bookmarkStart w:id="1" w:name="_Toc30588455"/>
      <w:r>
        <w:t>Technical Specifications</w:t>
      </w:r>
      <w:bookmarkEnd w:id="1"/>
    </w:p>
    <w:p w14:paraId="5F4F18C5" w14:textId="58C6E35C" w:rsidR="00F84E85" w:rsidRDefault="00F84E85" w:rsidP="00F84E85">
      <w:r>
        <w:t>The program was developed in Python and utilizes a number of reporting files from NRGStream in order to produce the output files. The Input files are as follows:</w:t>
      </w:r>
    </w:p>
    <w:p w14:paraId="610D20EE" w14:textId="5F85D63B" w:rsidR="00F84E85" w:rsidRDefault="00F84E85" w:rsidP="00F84E85">
      <w:pPr>
        <w:pStyle w:val="ListParagraph"/>
        <w:numPr>
          <w:ilvl w:val="0"/>
          <w:numId w:val="7"/>
        </w:numPr>
      </w:pPr>
      <w:r>
        <w:t>AESO Grid Events</w:t>
      </w:r>
    </w:p>
    <w:p w14:paraId="2C788C7F" w14:textId="65288344" w:rsidR="00F84E85" w:rsidRDefault="00F84E85" w:rsidP="00F84E85">
      <w:pPr>
        <w:pStyle w:val="ListParagraph"/>
        <w:numPr>
          <w:ilvl w:val="0"/>
          <w:numId w:val="7"/>
        </w:numPr>
      </w:pPr>
      <w:r>
        <w:t>AESO SMPs ($ / MW)</w:t>
      </w:r>
    </w:p>
    <w:p w14:paraId="1900BC9C" w14:textId="64345965" w:rsidR="00F84E85" w:rsidRDefault="00F84E85" w:rsidP="00F84E85">
      <w:pPr>
        <w:pStyle w:val="ListParagraph"/>
        <w:numPr>
          <w:ilvl w:val="0"/>
          <w:numId w:val="7"/>
        </w:numPr>
      </w:pPr>
      <w:r>
        <w:t>AESO Pool Prices ($ / MW)</w:t>
      </w:r>
    </w:p>
    <w:p w14:paraId="7B4BDDD5" w14:textId="47D10D6A" w:rsidR="00F84E85" w:rsidRDefault="00F84E85" w:rsidP="00F84E85">
      <w:pPr>
        <w:pStyle w:val="ListParagraph"/>
        <w:numPr>
          <w:ilvl w:val="0"/>
          <w:numId w:val="7"/>
        </w:numPr>
      </w:pPr>
      <w:r>
        <w:t>AB Total Electricity Demand (MW)</w:t>
      </w:r>
    </w:p>
    <w:p w14:paraId="39FC6517" w14:textId="72E4C643" w:rsidR="00C66325" w:rsidRDefault="00C66325" w:rsidP="00C66325">
      <w:pPr>
        <w:pStyle w:val="ListParagraph"/>
        <w:numPr>
          <w:ilvl w:val="0"/>
          <w:numId w:val="7"/>
        </w:numPr>
      </w:pPr>
      <w:r>
        <w:t>AB Net Generation (MW</w:t>
      </w:r>
      <w:r>
        <w:t>)</w:t>
      </w:r>
    </w:p>
    <w:p w14:paraId="5AD69B3E" w14:textId="5B735471" w:rsidR="00F84E85" w:rsidRDefault="00F84E85" w:rsidP="00F84E85">
      <w:pPr>
        <w:pStyle w:val="ListParagraph"/>
        <w:numPr>
          <w:ilvl w:val="0"/>
          <w:numId w:val="7"/>
        </w:numPr>
      </w:pPr>
      <w:r>
        <w:t>AB Total Intertie Power Exchange</w:t>
      </w:r>
      <w:r>
        <w:t xml:space="preserve"> (MW)</w:t>
      </w:r>
    </w:p>
    <w:p w14:paraId="4A488C60" w14:textId="727B5055" w:rsidR="00F84E85" w:rsidRDefault="00F84E85" w:rsidP="00F84E85">
      <w:pPr>
        <w:pStyle w:val="ListParagraph"/>
        <w:numPr>
          <w:ilvl w:val="0"/>
          <w:numId w:val="7"/>
        </w:numPr>
      </w:pPr>
      <w:r>
        <w:t>AB-BC Intertie Exchange</w:t>
      </w:r>
      <w:r>
        <w:t xml:space="preserve"> (MW)</w:t>
      </w:r>
    </w:p>
    <w:p w14:paraId="06E6258B" w14:textId="7FC5D28C" w:rsidR="00F84E85" w:rsidRDefault="00F84E85" w:rsidP="00F84E85">
      <w:pPr>
        <w:pStyle w:val="ListParagraph"/>
        <w:numPr>
          <w:ilvl w:val="0"/>
          <w:numId w:val="7"/>
        </w:numPr>
      </w:pPr>
      <w:r>
        <w:t>AB-MT Intertie Exchange</w:t>
      </w:r>
      <w:r>
        <w:t xml:space="preserve"> (MW)</w:t>
      </w:r>
    </w:p>
    <w:p w14:paraId="5A31CEAF" w14:textId="6ACF6988" w:rsidR="00F84E85" w:rsidRDefault="00F84E85" w:rsidP="00F84E85">
      <w:pPr>
        <w:pStyle w:val="ListParagraph"/>
        <w:numPr>
          <w:ilvl w:val="0"/>
          <w:numId w:val="7"/>
        </w:numPr>
      </w:pPr>
      <w:r>
        <w:t>AB-SK Intertie Exchange</w:t>
      </w:r>
      <w:r>
        <w:t xml:space="preserve"> (MW)</w:t>
      </w:r>
    </w:p>
    <w:p w14:paraId="58339CC1" w14:textId="3872AE53" w:rsidR="00F84E85" w:rsidRDefault="00F84E85" w:rsidP="00F84E85">
      <w:r>
        <w:t>The program begins by filtering each event message and classifying the event type. The events are classified in two metrics: event type, and event asset. Event types have further been categorized into five types: offline, online, maintenance, frequency deviation, and outage. A majority of AESO grid events fall under the first two categories, referring to generators or other assets going online or offline.</w:t>
      </w:r>
    </w:p>
    <w:p w14:paraId="0230A986" w14:textId="156EA435" w:rsidR="00AB2396" w:rsidRDefault="00F84E85" w:rsidP="00F84E85">
      <w:r>
        <w:t xml:space="preserve">The program has two output functions. The first </w:t>
      </w:r>
      <w:r w:rsidR="00AB2396">
        <w:t>produces</w:t>
      </w:r>
      <w:r>
        <w:t xml:space="preserve"> a</w:t>
      </w:r>
      <w:r w:rsidR="00AB2396">
        <w:t>n event database spreadsheet containing information and calculations regarding each grid event. Some of the useful information contained in the file includes the event date and time, event SMP and pool price, a flag for pool price and SMP events (Ie &gt;$200 / MW), the max SMP and pool prices within a customizable range, as well as intertie and demand information for the specific event. The second function produces individual CSV files for each event. Each file is uniquely named and contains only the date and SMP over the customizable range.</w:t>
      </w:r>
    </w:p>
    <w:p w14:paraId="2E491435" w14:textId="671595D1" w:rsidR="00AB2396" w:rsidRDefault="00AB2396" w:rsidP="00AB2396">
      <w:pPr>
        <w:pStyle w:val="Heading2"/>
      </w:pPr>
      <w:bookmarkStart w:id="2" w:name="_Toc30588456"/>
      <w:r>
        <w:t>Program Settings</w:t>
      </w:r>
      <w:bookmarkEnd w:id="2"/>
    </w:p>
    <w:p w14:paraId="42215D53" w14:textId="05D0F93A" w:rsidR="00AB2396" w:rsidRPr="00AA5EA0" w:rsidRDefault="00AB2396" w:rsidP="00AB2396">
      <w:r>
        <w:t xml:space="preserve">The program has several custom features that produce the resulting output files. Filters for events and assets can be changed to produce only the files containing the filtered information. The range of each prepped file as well as the range over which the metrics are reported can be set as well. In the instance seen in Figure 1, the range backwards and forwards for the pool price and SMP is set to 3 hours each way. The range backwards is only reflected in the prepped data files however the event database determines its reporting on the </w:t>
      </w:r>
      <w:r w:rsidR="00AA5EA0">
        <w:t xml:space="preserve">range after the event (ie if the range is three hours forward, a price spike 4 hours after won’t be acknowledged). The last variable, </w:t>
      </w:r>
      <w:r w:rsidR="00AA5EA0" w:rsidRPr="00AA5EA0">
        <w:rPr>
          <w:i/>
          <w:iCs/>
        </w:rPr>
        <w:t>measToFile</w:t>
      </w:r>
      <w:r w:rsidR="00AA5EA0">
        <w:t>, gives the user the ability to write some of the event characteristics to each prepped data file however the same information is also reflected in the event database.</w:t>
      </w:r>
    </w:p>
    <w:p w14:paraId="3D995FBA" w14:textId="77777777" w:rsidR="00AA5EA0" w:rsidRDefault="00AB2396" w:rsidP="00AA5EA0">
      <w:pPr>
        <w:keepNext/>
      </w:pPr>
      <w:r>
        <w:rPr>
          <w:noProof/>
        </w:rPr>
        <w:lastRenderedPageBreak/>
        <w:drawing>
          <wp:inline distT="0" distB="0" distL="0" distR="0" wp14:anchorId="155E2469" wp14:editId="676D4C50">
            <wp:extent cx="5943600"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467485"/>
                    </a:xfrm>
                    <a:prstGeom prst="rect">
                      <a:avLst/>
                    </a:prstGeom>
                  </pic:spPr>
                </pic:pic>
              </a:graphicData>
            </a:graphic>
          </wp:inline>
        </w:drawing>
      </w:r>
    </w:p>
    <w:p w14:paraId="0B387B85" w14:textId="2E9964FE" w:rsidR="00AB2396" w:rsidRDefault="00AA5EA0" w:rsidP="00AA5EA0">
      <w:pPr>
        <w:pStyle w:val="Caption"/>
      </w:pPr>
      <w:r>
        <w:t xml:space="preserve">Figure </w:t>
      </w:r>
      <w:fldSimple w:instr=" SEQ Figure \* ARABIC ">
        <w:r w:rsidR="009B0EB8">
          <w:rPr>
            <w:noProof/>
          </w:rPr>
          <w:t>1</w:t>
        </w:r>
      </w:fldSimple>
      <w:r>
        <w:t xml:space="preserve"> AESO Market Price Data Prep Settings</w:t>
      </w:r>
    </w:p>
    <w:p w14:paraId="60E1965C" w14:textId="008B8E38" w:rsidR="00AA5EA0" w:rsidRDefault="00AA5EA0" w:rsidP="00AA5EA0">
      <w:r>
        <w:t>The program has a single working directory which is the only setting that may need to be changed upon running the program on a different user’s workstation. All input and output directories are seen in Figure 2.</w:t>
      </w:r>
    </w:p>
    <w:p w14:paraId="2272419E" w14:textId="33466FB9" w:rsidR="00070705" w:rsidRDefault="00A36C0E" w:rsidP="00070705">
      <w:pPr>
        <w:keepNext/>
      </w:pPr>
      <w:r>
        <w:rPr>
          <w:noProof/>
        </w:rPr>
        <w:drawing>
          <wp:inline distT="0" distB="0" distL="0" distR="0" wp14:anchorId="3038DF4E" wp14:editId="10DB8EAD">
            <wp:extent cx="527685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6850" cy="2571750"/>
                    </a:xfrm>
                    <a:prstGeom prst="rect">
                      <a:avLst/>
                    </a:prstGeom>
                  </pic:spPr>
                </pic:pic>
              </a:graphicData>
            </a:graphic>
          </wp:inline>
        </w:drawing>
      </w:r>
    </w:p>
    <w:p w14:paraId="4DB405F5" w14:textId="18A030E1" w:rsidR="00A36C0E" w:rsidRDefault="00070705" w:rsidP="00A36C0E">
      <w:pPr>
        <w:pStyle w:val="Caption"/>
      </w:pPr>
      <w:r>
        <w:t xml:space="preserve">Figure </w:t>
      </w:r>
      <w:fldSimple w:instr=" SEQ Figure \* ARABIC ">
        <w:r w:rsidR="009B0EB8">
          <w:rPr>
            <w:noProof/>
          </w:rPr>
          <w:t>2</w:t>
        </w:r>
      </w:fldSimple>
      <w:r>
        <w:t xml:space="preserve"> File Directories</w:t>
      </w:r>
    </w:p>
    <w:p w14:paraId="5A4C0DE9" w14:textId="0AB7F162" w:rsidR="00F84E85" w:rsidRDefault="00F84E85" w:rsidP="00F84E85">
      <w:pPr>
        <w:pStyle w:val="Heading1"/>
      </w:pPr>
      <w:bookmarkStart w:id="3" w:name="_Toc30588457"/>
      <w:r>
        <w:t>Data Output</w:t>
      </w:r>
      <w:bookmarkEnd w:id="3"/>
    </w:p>
    <w:p w14:paraId="7BDE94FE" w14:textId="70D8A32F" w:rsidR="00A36C0E" w:rsidRDefault="00A36C0E" w:rsidP="00A36C0E">
      <w:pPr>
        <w:pStyle w:val="Heading2"/>
      </w:pPr>
      <w:bookmarkStart w:id="4" w:name="_Toc30588458"/>
      <w:r>
        <w:t>Event Data</w:t>
      </w:r>
      <w:bookmarkEnd w:id="4"/>
    </w:p>
    <w:p w14:paraId="34BBB7A4" w14:textId="74641B79" w:rsidR="00A36C0E" w:rsidRDefault="00A36C0E" w:rsidP="00A36C0E">
      <w:r>
        <w:t>The event database file is saved to “…/Event Data”. The resulting CSV file reports event specific information and includes a number of grid condition metrics during the event occurrence. Potentially useful information includes price event flags for SMP and pool prices (&gt;$200 / MW), the maximum and minimum SMP following the event SMP as well as the duration (in minutes) between the event and the maximum, Alberta generation and load conditions, as well as intertie conditions.</w:t>
      </w:r>
    </w:p>
    <w:p w14:paraId="30CFBED6" w14:textId="3DAB19BF" w:rsidR="00A36C0E" w:rsidRDefault="00A36C0E" w:rsidP="00A36C0E">
      <w:pPr>
        <w:pStyle w:val="Heading2"/>
      </w:pPr>
      <w:bookmarkStart w:id="5" w:name="_Toc30588459"/>
      <w:r>
        <w:t>Prepped Files</w:t>
      </w:r>
      <w:bookmarkEnd w:id="5"/>
    </w:p>
    <w:p w14:paraId="68078622" w14:textId="0467A4AB" w:rsidR="00A36C0E" w:rsidRPr="00A36C0E" w:rsidRDefault="00A36C0E" w:rsidP="00A36C0E">
      <w:r>
        <w:t xml:space="preserve">For each of the events in the event database, a separate file containing the event’s dates, and SMPs (over the user defined range, see Figure 1). Each file is uniquely named and was meant as a preparation for additional studying for use in neural network or machine learning analysis. Some event database measurements can be written to the </w:t>
      </w:r>
      <w:r w:rsidR="00C66325">
        <w:t xml:space="preserve">prepped files by setting </w:t>
      </w:r>
      <w:r w:rsidR="00C66325" w:rsidRPr="00C66325">
        <w:rPr>
          <w:i/>
          <w:iCs/>
        </w:rPr>
        <w:t>measToFile</w:t>
      </w:r>
      <w:r w:rsidR="00C66325">
        <w:t xml:space="preserve"> to 1 (see Figure 1).</w:t>
      </w:r>
    </w:p>
    <w:p w14:paraId="72121B4C" w14:textId="7DA63773" w:rsidR="00253292" w:rsidRDefault="00F84E85" w:rsidP="00253292">
      <w:pPr>
        <w:pStyle w:val="Heading1"/>
      </w:pPr>
      <w:bookmarkStart w:id="6" w:name="_Toc30588460"/>
      <w:r>
        <w:lastRenderedPageBreak/>
        <w:t>Instructions for Use</w:t>
      </w:r>
      <w:bookmarkEnd w:id="6"/>
    </w:p>
    <w:p w14:paraId="41A1B013" w14:textId="689A5D69" w:rsidR="00C66325" w:rsidRDefault="00C66325" w:rsidP="00C66325">
      <w:pPr>
        <w:pStyle w:val="ListParagraph"/>
        <w:numPr>
          <w:ilvl w:val="0"/>
          <w:numId w:val="8"/>
        </w:numPr>
      </w:pPr>
      <w:r>
        <w:t>Ensure all appropriate libraries are installed in your Python environment and your environment runs properly prior to running the program</w:t>
      </w:r>
    </w:p>
    <w:p w14:paraId="04FE73BE" w14:textId="65A94806" w:rsidR="00C66325" w:rsidRDefault="00C66325" w:rsidP="00C66325">
      <w:pPr>
        <w:pStyle w:val="ListParagraph"/>
        <w:numPr>
          <w:ilvl w:val="0"/>
          <w:numId w:val="8"/>
        </w:numPr>
      </w:pPr>
      <w:r>
        <w:t>Change any of the directories in directory section to accommodate your machine</w:t>
      </w:r>
    </w:p>
    <w:p w14:paraId="22B3C56A" w14:textId="1FCAD1A2" w:rsidR="00C66325" w:rsidRDefault="00C66325" w:rsidP="00C66325">
      <w:pPr>
        <w:pStyle w:val="ListParagraph"/>
        <w:numPr>
          <w:ilvl w:val="1"/>
          <w:numId w:val="8"/>
        </w:numPr>
      </w:pPr>
      <w:r>
        <w:t xml:space="preserve">You will need to change </w:t>
      </w:r>
      <w:r w:rsidRPr="00C66325">
        <w:rPr>
          <w:i/>
          <w:iCs/>
        </w:rPr>
        <w:t>workingDir</w:t>
      </w:r>
      <w:r>
        <w:t xml:space="preserve"> to match the working directory path of your program</w:t>
      </w:r>
    </w:p>
    <w:p w14:paraId="42D8F185" w14:textId="71CD6188" w:rsidR="00C66325" w:rsidRDefault="00C66325" w:rsidP="00C66325">
      <w:pPr>
        <w:pStyle w:val="ListParagraph"/>
        <w:numPr>
          <w:ilvl w:val="1"/>
          <w:numId w:val="8"/>
        </w:numPr>
      </w:pPr>
      <w:r>
        <w:t>Other directories are of the preference of the user and do not necessarily need to be changed unless you are using different file names or file directories</w:t>
      </w:r>
    </w:p>
    <w:p w14:paraId="6F23970A" w14:textId="1A8F1A4A" w:rsidR="00C66325" w:rsidRDefault="00C66325" w:rsidP="00C66325">
      <w:pPr>
        <w:pStyle w:val="ListParagraph"/>
        <w:numPr>
          <w:ilvl w:val="0"/>
          <w:numId w:val="8"/>
        </w:numPr>
      </w:pPr>
      <w:r>
        <w:t>Change any program settings including writing the measurements to the prepped files, or setting the reporting range for either the SMP or the pool price</w:t>
      </w:r>
    </w:p>
    <w:p w14:paraId="7EF04353" w14:textId="1C181100" w:rsidR="00C66325" w:rsidRDefault="00C66325" w:rsidP="00C66325">
      <w:pPr>
        <w:pStyle w:val="ListParagraph"/>
        <w:numPr>
          <w:ilvl w:val="0"/>
          <w:numId w:val="8"/>
        </w:numPr>
      </w:pPr>
      <w:r>
        <w:t>Ensure all appropriate files are located in the correct directory before running</w:t>
      </w:r>
    </w:p>
    <w:p w14:paraId="6250F621" w14:textId="2C6E3397" w:rsidR="00C66325" w:rsidRDefault="00C66325" w:rsidP="00C66325">
      <w:pPr>
        <w:pStyle w:val="ListParagraph"/>
        <w:numPr>
          <w:ilvl w:val="1"/>
          <w:numId w:val="8"/>
        </w:numPr>
      </w:pPr>
      <w:r>
        <w:t>The program requires 9 files to report all appropriate information</w:t>
      </w:r>
      <w:r w:rsidR="00D444F4">
        <w:t xml:space="preserve"> (taken from NRGStream)</w:t>
      </w:r>
    </w:p>
    <w:p w14:paraId="5FB7BD6B" w14:textId="64718E83" w:rsidR="00C66325" w:rsidRDefault="00C66325" w:rsidP="00C66325">
      <w:pPr>
        <w:pStyle w:val="ListParagraph"/>
        <w:numPr>
          <w:ilvl w:val="2"/>
          <w:numId w:val="8"/>
        </w:numPr>
      </w:pPr>
      <w:r>
        <w:t>AESO Grid Events</w:t>
      </w:r>
    </w:p>
    <w:p w14:paraId="737531F2" w14:textId="019237FF" w:rsidR="00C66325" w:rsidRDefault="00C66325" w:rsidP="00C66325">
      <w:pPr>
        <w:pStyle w:val="ListParagraph"/>
        <w:numPr>
          <w:ilvl w:val="2"/>
          <w:numId w:val="8"/>
        </w:numPr>
      </w:pPr>
      <w:r>
        <w:t>AESO SMP ($ / MW)</w:t>
      </w:r>
    </w:p>
    <w:p w14:paraId="617AD72D" w14:textId="375536E1" w:rsidR="00C66325" w:rsidRDefault="00C66325" w:rsidP="00C66325">
      <w:pPr>
        <w:pStyle w:val="ListParagraph"/>
        <w:numPr>
          <w:ilvl w:val="2"/>
          <w:numId w:val="8"/>
        </w:numPr>
      </w:pPr>
      <w:r>
        <w:t>AESO Pool Prices ($ / MW)</w:t>
      </w:r>
    </w:p>
    <w:p w14:paraId="5B2737E5" w14:textId="35FCAFA1" w:rsidR="00C66325" w:rsidRDefault="00C66325" w:rsidP="00C66325">
      <w:pPr>
        <w:pStyle w:val="ListParagraph"/>
        <w:numPr>
          <w:ilvl w:val="2"/>
          <w:numId w:val="8"/>
        </w:numPr>
      </w:pPr>
      <w:r>
        <w:t>AESO Total Electricity Demand (MW)</w:t>
      </w:r>
    </w:p>
    <w:p w14:paraId="39EA8888" w14:textId="7D09D155" w:rsidR="00C66325" w:rsidRDefault="00C66325" w:rsidP="00C66325">
      <w:pPr>
        <w:pStyle w:val="ListParagraph"/>
        <w:numPr>
          <w:ilvl w:val="2"/>
          <w:numId w:val="8"/>
        </w:numPr>
      </w:pPr>
      <w:r>
        <w:t>AESO Net Generation (MW)</w:t>
      </w:r>
    </w:p>
    <w:p w14:paraId="7CB09DF1" w14:textId="42A4BE9B" w:rsidR="00C66325" w:rsidRDefault="00C66325" w:rsidP="00C66325">
      <w:pPr>
        <w:pStyle w:val="ListParagraph"/>
        <w:numPr>
          <w:ilvl w:val="2"/>
          <w:numId w:val="8"/>
        </w:numPr>
      </w:pPr>
      <w:r>
        <w:t>AESO Total Intertie Exchange (MW)</w:t>
      </w:r>
    </w:p>
    <w:p w14:paraId="45312550" w14:textId="3F7FA876" w:rsidR="00C66325" w:rsidRDefault="00C66325" w:rsidP="00C66325">
      <w:pPr>
        <w:pStyle w:val="ListParagraph"/>
        <w:numPr>
          <w:ilvl w:val="2"/>
          <w:numId w:val="8"/>
        </w:numPr>
      </w:pPr>
      <w:r>
        <w:t>AB-BC Intertie Exchange (MW)</w:t>
      </w:r>
    </w:p>
    <w:p w14:paraId="4E73DCA0" w14:textId="06A6789D" w:rsidR="00C66325" w:rsidRDefault="00C66325" w:rsidP="00C66325">
      <w:pPr>
        <w:pStyle w:val="ListParagraph"/>
        <w:numPr>
          <w:ilvl w:val="2"/>
          <w:numId w:val="8"/>
        </w:numPr>
      </w:pPr>
      <w:r>
        <w:t>AB-MT Intertie Exchange (MW)</w:t>
      </w:r>
    </w:p>
    <w:p w14:paraId="3B6DE1A6" w14:textId="63DFCD98" w:rsidR="00C66325" w:rsidRDefault="00C66325" w:rsidP="00C66325">
      <w:pPr>
        <w:pStyle w:val="ListParagraph"/>
        <w:numPr>
          <w:ilvl w:val="2"/>
          <w:numId w:val="8"/>
        </w:numPr>
      </w:pPr>
      <w:r>
        <w:t>AB-SK Intertie Exchange (MW)</w:t>
      </w:r>
    </w:p>
    <w:p w14:paraId="1BDF363C" w14:textId="7B00A5AD" w:rsidR="00C66325" w:rsidRDefault="00C66325" w:rsidP="00C66325">
      <w:pPr>
        <w:pStyle w:val="ListParagraph"/>
        <w:numPr>
          <w:ilvl w:val="1"/>
          <w:numId w:val="8"/>
        </w:numPr>
      </w:pPr>
      <w:r>
        <w:t>The program is limited at the AESO Grid Events file meaning that the program will only report as many files as there are events in the file</w:t>
      </w:r>
    </w:p>
    <w:p w14:paraId="62E0E58A" w14:textId="607402CC" w:rsidR="00C66325" w:rsidRDefault="00C66325" w:rsidP="00C66325">
      <w:pPr>
        <w:pStyle w:val="ListParagraph"/>
        <w:numPr>
          <w:ilvl w:val="1"/>
          <w:numId w:val="8"/>
        </w:numPr>
      </w:pPr>
      <w:r>
        <w:t>Every other file must have a date range equal or greater than that of the AESO Grid Events file</w:t>
      </w:r>
    </w:p>
    <w:p w14:paraId="5D9C251F" w14:textId="49E0C150" w:rsidR="00C66325" w:rsidRDefault="00D444F4" w:rsidP="00C66325">
      <w:pPr>
        <w:pStyle w:val="ListParagraph"/>
        <w:numPr>
          <w:ilvl w:val="1"/>
          <w:numId w:val="8"/>
        </w:numPr>
      </w:pPr>
      <w:r>
        <w:t>The program accounts for the header lines at the top of each NRGStream report however it does not account for any third columns (present in SMP and pool price files)</w:t>
      </w:r>
    </w:p>
    <w:p w14:paraId="4E64E42B" w14:textId="6D1ECCA4" w:rsidR="00D444F4" w:rsidRDefault="00D444F4" w:rsidP="00D444F4">
      <w:pPr>
        <w:pStyle w:val="ListParagraph"/>
        <w:numPr>
          <w:ilvl w:val="0"/>
          <w:numId w:val="8"/>
        </w:numPr>
      </w:pPr>
      <w:r>
        <w:t>Ensure all output files are closed before running (the program will return an error if it cannot open and write to a file that is already open on the computer)</w:t>
      </w:r>
    </w:p>
    <w:p w14:paraId="50295B8A" w14:textId="63D46558" w:rsidR="00D444F4" w:rsidRDefault="00D444F4" w:rsidP="00D444F4">
      <w:pPr>
        <w:pStyle w:val="ListParagraph"/>
        <w:numPr>
          <w:ilvl w:val="0"/>
          <w:numId w:val="8"/>
        </w:numPr>
      </w:pPr>
      <w:r>
        <w:t>Run the program</w:t>
      </w:r>
    </w:p>
    <w:p w14:paraId="06A98B25" w14:textId="5F3769A5" w:rsidR="00057553" w:rsidRDefault="00D444F4" w:rsidP="00D444F4">
      <w:pPr>
        <w:pStyle w:val="ListParagraph"/>
        <w:numPr>
          <w:ilvl w:val="1"/>
          <w:numId w:val="8"/>
        </w:numPr>
      </w:pPr>
      <w:r>
        <w:t>The program takes ~30 minutes to run on a laptop for a range of January 2017 to August 2019</w:t>
      </w:r>
    </w:p>
    <w:p w14:paraId="6BDCD22E" w14:textId="2AFB556F" w:rsidR="00D444F4" w:rsidRDefault="00D444F4" w:rsidP="00D444F4">
      <w:pPr>
        <w:pStyle w:val="Heading1"/>
      </w:pPr>
      <w:bookmarkStart w:id="7" w:name="_Toc30588461"/>
      <w:r>
        <w:t>Suggestions for Continued Development</w:t>
      </w:r>
      <w:bookmarkEnd w:id="7"/>
    </w:p>
    <w:p w14:paraId="36B00268" w14:textId="4DEDF455" w:rsidR="004C7E7D" w:rsidRDefault="00D444F4" w:rsidP="00D444F4">
      <w:r>
        <w:t xml:space="preserve">The program has the potential to include a number of additional metrics for studying the impact of grid events. Additional files can be included in the event report by </w:t>
      </w:r>
      <w:r w:rsidR="004C7E7D">
        <w:t>following the comments in the file. These have been denoted with ADDITIONAL FILE as to instruct when to add additional code to accommodate the importing of another file.</w:t>
      </w:r>
    </w:p>
    <w:p w14:paraId="4A568BBE" w14:textId="777CB3C5" w:rsidR="004C7E7D" w:rsidRPr="00D444F4" w:rsidRDefault="004C7E7D" w:rsidP="00D444F4">
      <w:r>
        <w:t>The natural language processing that filters out the asset names and event types are accurate but not perfect. Continued development to further generate accurate filtering of these metrics will increase reportability of grid events.</w:t>
      </w:r>
      <w:bookmarkStart w:id="8" w:name="_GoBack"/>
      <w:bookmarkEnd w:id="8"/>
      <w:r>
        <w:t>Additional program development is encouraged and will hopefully continue to increase the reporting capabilities of the program.</w:t>
      </w:r>
    </w:p>
    <w:sectPr w:rsidR="004C7E7D" w:rsidRPr="00D444F4" w:rsidSect="00F764FE">
      <w:headerReference w:type="default" r:id="rId1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0B819" w14:textId="77777777" w:rsidR="005149BE" w:rsidRDefault="005149BE" w:rsidP="00F764FE">
      <w:pPr>
        <w:spacing w:after="0" w:line="240" w:lineRule="auto"/>
      </w:pPr>
      <w:r>
        <w:separator/>
      </w:r>
    </w:p>
  </w:endnote>
  <w:endnote w:type="continuationSeparator" w:id="0">
    <w:p w14:paraId="56A73564" w14:textId="77777777" w:rsidR="005149BE" w:rsidRDefault="005149BE" w:rsidP="00F76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17449"/>
      <w:docPartObj>
        <w:docPartGallery w:val="Page Numbers (Bottom of Page)"/>
        <w:docPartUnique/>
      </w:docPartObj>
    </w:sdtPr>
    <w:sdtEndPr>
      <w:rPr>
        <w:noProof/>
      </w:rPr>
    </w:sdtEndPr>
    <w:sdtContent>
      <w:p w14:paraId="08645917" w14:textId="77777777" w:rsidR="00B23B77" w:rsidRDefault="00B23B77">
        <w:pPr>
          <w:pStyle w:val="Footer"/>
          <w:jc w:val="right"/>
        </w:pPr>
        <w:r>
          <w:fldChar w:fldCharType="begin"/>
        </w:r>
        <w:r>
          <w:instrText xml:space="preserve"> PAGE   \* MERGEFORMAT </w:instrText>
        </w:r>
        <w:r>
          <w:fldChar w:fldCharType="separate"/>
        </w:r>
        <w:r w:rsidR="00057553">
          <w:rPr>
            <w:noProof/>
          </w:rPr>
          <w:t>i</w:t>
        </w:r>
        <w:r>
          <w:rPr>
            <w:noProof/>
          </w:rPr>
          <w:fldChar w:fldCharType="end"/>
        </w:r>
      </w:p>
    </w:sdtContent>
  </w:sdt>
  <w:p w14:paraId="0CBA8506" w14:textId="77777777" w:rsidR="00B23B77" w:rsidRDefault="00B23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730B67" w14:textId="77777777" w:rsidR="005149BE" w:rsidRDefault="005149BE" w:rsidP="00F764FE">
      <w:pPr>
        <w:spacing w:after="0" w:line="240" w:lineRule="auto"/>
      </w:pPr>
      <w:r>
        <w:separator/>
      </w:r>
    </w:p>
  </w:footnote>
  <w:footnote w:type="continuationSeparator" w:id="0">
    <w:p w14:paraId="2F0DB004" w14:textId="77777777" w:rsidR="005149BE" w:rsidRDefault="005149BE" w:rsidP="00F76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41803E" w14:textId="77777777" w:rsidR="00B23B77" w:rsidRDefault="00B23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0B3C6" w14:textId="77777777" w:rsidR="00B23B77" w:rsidRDefault="00B23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F0C82"/>
    <w:multiLevelType w:val="hybridMultilevel"/>
    <w:tmpl w:val="00868400"/>
    <w:lvl w:ilvl="0" w:tplc="9B6C1EF0">
      <w:start w:val="1"/>
      <w:numFmt w:val="bullet"/>
      <w:lvlText w:val=""/>
      <w:lvlJc w:val="left"/>
      <w:pPr>
        <w:ind w:left="720" w:hanging="360"/>
      </w:pPr>
      <w:rPr>
        <w:rFonts w:ascii="Symbol" w:hAnsi="Symbol" w:hint="default"/>
      </w:rPr>
    </w:lvl>
    <w:lvl w:ilvl="1" w:tplc="29504AE4">
      <w:start w:val="1"/>
      <w:numFmt w:val="bullet"/>
      <w:lvlText w:val="o"/>
      <w:lvlJc w:val="left"/>
      <w:pPr>
        <w:ind w:left="1440" w:hanging="360"/>
      </w:pPr>
      <w:rPr>
        <w:rFonts w:ascii="Courier New" w:hAnsi="Courier New" w:hint="default"/>
      </w:rPr>
    </w:lvl>
    <w:lvl w:ilvl="2" w:tplc="A40A9992">
      <w:start w:val="1"/>
      <w:numFmt w:val="bullet"/>
      <w:lvlText w:val=""/>
      <w:lvlJc w:val="left"/>
      <w:pPr>
        <w:ind w:left="2160" w:hanging="360"/>
      </w:pPr>
      <w:rPr>
        <w:rFonts w:ascii="Wingdings" w:hAnsi="Wingdings" w:hint="default"/>
      </w:rPr>
    </w:lvl>
    <w:lvl w:ilvl="3" w:tplc="EB0CD4A6">
      <w:start w:val="1"/>
      <w:numFmt w:val="bullet"/>
      <w:lvlText w:val=""/>
      <w:lvlJc w:val="left"/>
      <w:pPr>
        <w:ind w:left="2880" w:hanging="360"/>
      </w:pPr>
      <w:rPr>
        <w:rFonts w:ascii="Symbol" w:hAnsi="Symbol" w:hint="default"/>
      </w:rPr>
    </w:lvl>
    <w:lvl w:ilvl="4" w:tplc="751C0F76">
      <w:start w:val="1"/>
      <w:numFmt w:val="bullet"/>
      <w:lvlText w:val="o"/>
      <w:lvlJc w:val="left"/>
      <w:pPr>
        <w:ind w:left="3600" w:hanging="360"/>
      </w:pPr>
      <w:rPr>
        <w:rFonts w:ascii="Courier New" w:hAnsi="Courier New" w:hint="default"/>
      </w:rPr>
    </w:lvl>
    <w:lvl w:ilvl="5" w:tplc="7A581BC2">
      <w:start w:val="1"/>
      <w:numFmt w:val="bullet"/>
      <w:lvlText w:val=""/>
      <w:lvlJc w:val="left"/>
      <w:pPr>
        <w:ind w:left="4320" w:hanging="360"/>
      </w:pPr>
      <w:rPr>
        <w:rFonts w:ascii="Wingdings" w:hAnsi="Wingdings" w:hint="default"/>
      </w:rPr>
    </w:lvl>
    <w:lvl w:ilvl="6" w:tplc="2A10FA6E">
      <w:start w:val="1"/>
      <w:numFmt w:val="bullet"/>
      <w:lvlText w:val=""/>
      <w:lvlJc w:val="left"/>
      <w:pPr>
        <w:ind w:left="5040" w:hanging="360"/>
      </w:pPr>
      <w:rPr>
        <w:rFonts w:ascii="Symbol" w:hAnsi="Symbol" w:hint="default"/>
      </w:rPr>
    </w:lvl>
    <w:lvl w:ilvl="7" w:tplc="E536D86E">
      <w:start w:val="1"/>
      <w:numFmt w:val="bullet"/>
      <w:lvlText w:val="o"/>
      <w:lvlJc w:val="left"/>
      <w:pPr>
        <w:ind w:left="5760" w:hanging="360"/>
      </w:pPr>
      <w:rPr>
        <w:rFonts w:ascii="Courier New" w:hAnsi="Courier New" w:hint="default"/>
      </w:rPr>
    </w:lvl>
    <w:lvl w:ilvl="8" w:tplc="A4480810">
      <w:start w:val="1"/>
      <w:numFmt w:val="bullet"/>
      <w:lvlText w:val=""/>
      <w:lvlJc w:val="left"/>
      <w:pPr>
        <w:ind w:left="6480" w:hanging="360"/>
      </w:pPr>
      <w:rPr>
        <w:rFonts w:ascii="Wingdings" w:hAnsi="Wingdings" w:hint="default"/>
      </w:rPr>
    </w:lvl>
  </w:abstractNum>
  <w:abstractNum w:abstractNumId="1" w15:restartNumberingAfterBreak="0">
    <w:nsid w:val="0C5D0BFB"/>
    <w:multiLevelType w:val="hybridMultilevel"/>
    <w:tmpl w:val="97EA7D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EE1DDB"/>
    <w:multiLevelType w:val="hybridMultilevel"/>
    <w:tmpl w:val="384C2114"/>
    <w:lvl w:ilvl="0" w:tplc="88DCD5E2">
      <w:start w:val="1"/>
      <w:numFmt w:val="decimal"/>
      <w:lvlText w:val="%1."/>
      <w:lvlJc w:val="left"/>
      <w:pPr>
        <w:ind w:left="720" w:hanging="360"/>
      </w:pPr>
    </w:lvl>
    <w:lvl w:ilvl="1" w:tplc="F63E2F20">
      <w:start w:val="1"/>
      <w:numFmt w:val="lowerLetter"/>
      <w:lvlText w:val="%2."/>
      <w:lvlJc w:val="left"/>
      <w:pPr>
        <w:ind w:left="1440" w:hanging="360"/>
      </w:pPr>
    </w:lvl>
    <w:lvl w:ilvl="2" w:tplc="2ACAF406">
      <w:start w:val="1"/>
      <w:numFmt w:val="lowerRoman"/>
      <w:lvlText w:val="%3."/>
      <w:lvlJc w:val="right"/>
      <w:pPr>
        <w:ind w:left="2160" w:hanging="180"/>
      </w:pPr>
    </w:lvl>
    <w:lvl w:ilvl="3" w:tplc="53F8ACF4">
      <w:start w:val="1"/>
      <w:numFmt w:val="decimal"/>
      <w:lvlText w:val="%4."/>
      <w:lvlJc w:val="left"/>
      <w:pPr>
        <w:ind w:left="2880" w:hanging="360"/>
      </w:pPr>
    </w:lvl>
    <w:lvl w:ilvl="4" w:tplc="9328ED98">
      <w:start w:val="1"/>
      <w:numFmt w:val="lowerLetter"/>
      <w:lvlText w:val="%5."/>
      <w:lvlJc w:val="left"/>
      <w:pPr>
        <w:ind w:left="3600" w:hanging="360"/>
      </w:pPr>
    </w:lvl>
    <w:lvl w:ilvl="5" w:tplc="9A9839C4">
      <w:start w:val="1"/>
      <w:numFmt w:val="lowerRoman"/>
      <w:lvlText w:val="%6."/>
      <w:lvlJc w:val="right"/>
      <w:pPr>
        <w:ind w:left="4320" w:hanging="180"/>
      </w:pPr>
    </w:lvl>
    <w:lvl w:ilvl="6" w:tplc="6F9E9778">
      <w:start w:val="1"/>
      <w:numFmt w:val="decimal"/>
      <w:lvlText w:val="%7."/>
      <w:lvlJc w:val="left"/>
      <w:pPr>
        <w:ind w:left="5040" w:hanging="360"/>
      </w:pPr>
    </w:lvl>
    <w:lvl w:ilvl="7" w:tplc="68F86072">
      <w:start w:val="1"/>
      <w:numFmt w:val="lowerLetter"/>
      <w:lvlText w:val="%8."/>
      <w:lvlJc w:val="left"/>
      <w:pPr>
        <w:ind w:left="5760" w:hanging="360"/>
      </w:pPr>
    </w:lvl>
    <w:lvl w:ilvl="8" w:tplc="513E1B7E">
      <w:start w:val="1"/>
      <w:numFmt w:val="lowerRoman"/>
      <w:lvlText w:val="%9."/>
      <w:lvlJc w:val="right"/>
      <w:pPr>
        <w:ind w:left="6480" w:hanging="180"/>
      </w:pPr>
    </w:lvl>
  </w:abstractNum>
  <w:abstractNum w:abstractNumId="3" w15:restartNumberingAfterBreak="0">
    <w:nsid w:val="153137CC"/>
    <w:multiLevelType w:val="hybridMultilevel"/>
    <w:tmpl w:val="ABB830A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9A57D2A"/>
    <w:multiLevelType w:val="hybridMultilevel"/>
    <w:tmpl w:val="137CFEA2"/>
    <w:lvl w:ilvl="0" w:tplc="211EFA9E">
      <w:start w:val="1"/>
      <w:numFmt w:val="upperLetter"/>
      <w:lvlText w:val="%1."/>
      <w:lvlJc w:val="left"/>
      <w:pPr>
        <w:ind w:left="720" w:hanging="360"/>
      </w:pPr>
      <w:rPr>
        <w:rFonts w:asciiTheme="majorHAnsi" w:eastAsiaTheme="majorEastAsia" w:hAnsiTheme="majorHAnsi" w:cstheme="majorBidi" w:hint="default"/>
        <w:color w:val="2E74B5" w:themeColor="accent1" w:themeShade="BF"/>
        <w:sz w:val="2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70F1F84"/>
    <w:multiLevelType w:val="hybridMultilevel"/>
    <w:tmpl w:val="55F29680"/>
    <w:lvl w:ilvl="0" w:tplc="6BEE2950">
      <w:start w:val="1"/>
      <w:numFmt w:val="decimal"/>
      <w:lvlText w:val="[%1]."/>
      <w:lvlJc w:val="left"/>
      <w:pPr>
        <w:ind w:left="720" w:hanging="360"/>
      </w:pPr>
      <w:rPr>
        <w:rFonts w:eastAsiaTheme="minorHAnsi"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37116FA"/>
    <w:multiLevelType w:val="hybridMultilevel"/>
    <w:tmpl w:val="513E3CA6"/>
    <w:lvl w:ilvl="0" w:tplc="D4565E5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CFA51DE"/>
    <w:multiLevelType w:val="hybridMultilevel"/>
    <w:tmpl w:val="D97E431C"/>
    <w:lvl w:ilvl="0" w:tplc="1DD02060">
      <w:start w:val="1"/>
      <w:numFmt w:val="bullet"/>
      <w:lvlText w:val=""/>
      <w:lvlJc w:val="left"/>
      <w:pPr>
        <w:ind w:left="720" w:hanging="360"/>
      </w:pPr>
      <w:rPr>
        <w:rFonts w:ascii="Symbol" w:hAnsi="Symbol" w:hint="default"/>
      </w:rPr>
    </w:lvl>
    <w:lvl w:ilvl="1" w:tplc="568803F0">
      <w:start w:val="1"/>
      <w:numFmt w:val="bullet"/>
      <w:lvlText w:val="o"/>
      <w:lvlJc w:val="left"/>
      <w:pPr>
        <w:ind w:left="1440" w:hanging="360"/>
      </w:pPr>
      <w:rPr>
        <w:rFonts w:ascii="Courier New" w:hAnsi="Courier New" w:hint="default"/>
      </w:rPr>
    </w:lvl>
    <w:lvl w:ilvl="2" w:tplc="4E1E2BBA">
      <w:start w:val="1"/>
      <w:numFmt w:val="bullet"/>
      <w:lvlText w:val=""/>
      <w:lvlJc w:val="left"/>
      <w:pPr>
        <w:ind w:left="2160" w:hanging="360"/>
      </w:pPr>
      <w:rPr>
        <w:rFonts w:ascii="Wingdings" w:hAnsi="Wingdings" w:hint="default"/>
      </w:rPr>
    </w:lvl>
    <w:lvl w:ilvl="3" w:tplc="CD90A8EE">
      <w:start w:val="1"/>
      <w:numFmt w:val="bullet"/>
      <w:lvlText w:val=""/>
      <w:lvlJc w:val="left"/>
      <w:pPr>
        <w:ind w:left="2880" w:hanging="360"/>
      </w:pPr>
      <w:rPr>
        <w:rFonts w:ascii="Symbol" w:hAnsi="Symbol" w:hint="default"/>
      </w:rPr>
    </w:lvl>
    <w:lvl w:ilvl="4" w:tplc="5680E07A">
      <w:start w:val="1"/>
      <w:numFmt w:val="bullet"/>
      <w:lvlText w:val="o"/>
      <w:lvlJc w:val="left"/>
      <w:pPr>
        <w:ind w:left="3600" w:hanging="360"/>
      </w:pPr>
      <w:rPr>
        <w:rFonts w:ascii="Courier New" w:hAnsi="Courier New" w:hint="default"/>
      </w:rPr>
    </w:lvl>
    <w:lvl w:ilvl="5" w:tplc="22B0FEF0">
      <w:start w:val="1"/>
      <w:numFmt w:val="bullet"/>
      <w:lvlText w:val=""/>
      <w:lvlJc w:val="left"/>
      <w:pPr>
        <w:ind w:left="4320" w:hanging="360"/>
      </w:pPr>
      <w:rPr>
        <w:rFonts w:ascii="Wingdings" w:hAnsi="Wingdings" w:hint="default"/>
      </w:rPr>
    </w:lvl>
    <w:lvl w:ilvl="6" w:tplc="CBFAEA16">
      <w:start w:val="1"/>
      <w:numFmt w:val="bullet"/>
      <w:lvlText w:val=""/>
      <w:lvlJc w:val="left"/>
      <w:pPr>
        <w:ind w:left="5040" w:hanging="360"/>
      </w:pPr>
      <w:rPr>
        <w:rFonts w:ascii="Symbol" w:hAnsi="Symbol" w:hint="default"/>
      </w:rPr>
    </w:lvl>
    <w:lvl w:ilvl="7" w:tplc="EF9A7120">
      <w:start w:val="1"/>
      <w:numFmt w:val="bullet"/>
      <w:lvlText w:val="o"/>
      <w:lvlJc w:val="left"/>
      <w:pPr>
        <w:ind w:left="5760" w:hanging="360"/>
      </w:pPr>
      <w:rPr>
        <w:rFonts w:ascii="Courier New" w:hAnsi="Courier New" w:hint="default"/>
      </w:rPr>
    </w:lvl>
    <w:lvl w:ilvl="8" w:tplc="55BA11DC">
      <w:start w:val="1"/>
      <w:numFmt w:val="bullet"/>
      <w:lvlText w:val=""/>
      <w:lvlJc w:val="left"/>
      <w:pPr>
        <w:ind w:left="6480" w:hanging="360"/>
      </w:pPr>
      <w:rPr>
        <w:rFonts w:ascii="Wingdings" w:hAnsi="Wingdings" w:hint="default"/>
      </w:rPr>
    </w:lvl>
  </w:abstractNum>
  <w:abstractNum w:abstractNumId="8" w15:restartNumberingAfterBreak="0">
    <w:nsid w:val="4FB472F8"/>
    <w:multiLevelType w:val="hybridMultilevel"/>
    <w:tmpl w:val="CD664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6"/>
  </w:num>
  <w:num w:numId="5">
    <w:abstractNumId w:val="5"/>
  </w:num>
  <w:num w:numId="6">
    <w:abstractNumId w:val="4"/>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4FE"/>
    <w:rsid w:val="00057553"/>
    <w:rsid w:val="00070705"/>
    <w:rsid w:val="000E529B"/>
    <w:rsid w:val="00237B72"/>
    <w:rsid w:val="00253292"/>
    <w:rsid w:val="003A3A20"/>
    <w:rsid w:val="003F51D2"/>
    <w:rsid w:val="004C7E7D"/>
    <w:rsid w:val="005149BE"/>
    <w:rsid w:val="005600AE"/>
    <w:rsid w:val="005736C6"/>
    <w:rsid w:val="007C306A"/>
    <w:rsid w:val="0085167E"/>
    <w:rsid w:val="00877AEB"/>
    <w:rsid w:val="009B0EB8"/>
    <w:rsid w:val="00A36C0E"/>
    <w:rsid w:val="00AA5EA0"/>
    <w:rsid w:val="00AB2396"/>
    <w:rsid w:val="00B23B77"/>
    <w:rsid w:val="00BD4423"/>
    <w:rsid w:val="00C6006B"/>
    <w:rsid w:val="00C66325"/>
    <w:rsid w:val="00D444F4"/>
    <w:rsid w:val="00DB2FD9"/>
    <w:rsid w:val="00DE20C0"/>
    <w:rsid w:val="00F764FE"/>
    <w:rsid w:val="00F84E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CD0E3"/>
  <w15:chartTrackingRefBased/>
  <w15:docId w15:val="{7AFBA6F2-3E56-48FA-9533-95446E7A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3B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3B7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6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4FE"/>
  </w:style>
  <w:style w:type="paragraph" w:styleId="Footer">
    <w:name w:val="footer"/>
    <w:basedOn w:val="Normal"/>
    <w:link w:val="FooterChar"/>
    <w:uiPriority w:val="99"/>
    <w:unhideWhenUsed/>
    <w:rsid w:val="00F76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64FE"/>
  </w:style>
  <w:style w:type="character" w:customStyle="1" w:styleId="Heading1Char">
    <w:name w:val="Heading 1 Char"/>
    <w:basedOn w:val="DefaultParagraphFont"/>
    <w:link w:val="Heading1"/>
    <w:uiPriority w:val="9"/>
    <w:rsid w:val="00F764F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764FE"/>
    <w:pPr>
      <w:outlineLvl w:val="9"/>
    </w:pPr>
    <w:rPr>
      <w:lang w:val="en-US"/>
    </w:rPr>
  </w:style>
  <w:style w:type="character" w:customStyle="1" w:styleId="Heading2Char">
    <w:name w:val="Heading 2 Char"/>
    <w:basedOn w:val="DefaultParagraphFont"/>
    <w:link w:val="Heading2"/>
    <w:uiPriority w:val="9"/>
    <w:rsid w:val="00B23B7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3B7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B23B77"/>
    <w:pPr>
      <w:ind w:left="720"/>
      <w:contextualSpacing/>
    </w:pPr>
  </w:style>
  <w:style w:type="paragraph" w:styleId="TOC1">
    <w:name w:val="toc 1"/>
    <w:basedOn w:val="Normal"/>
    <w:next w:val="Normal"/>
    <w:autoRedefine/>
    <w:uiPriority w:val="39"/>
    <w:unhideWhenUsed/>
    <w:rsid w:val="00B23B77"/>
    <w:pPr>
      <w:spacing w:after="100"/>
    </w:pPr>
  </w:style>
  <w:style w:type="paragraph" w:styleId="TOC2">
    <w:name w:val="toc 2"/>
    <w:basedOn w:val="Normal"/>
    <w:next w:val="Normal"/>
    <w:autoRedefine/>
    <w:uiPriority w:val="39"/>
    <w:unhideWhenUsed/>
    <w:rsid w:val="00B23B77"/>
    <w:pPr>
      <w:spacing w:after="100"/>
      <w:ind w:left="220"/>
    </w:pPr>
  </w:style>
  <w:style w:type="paragraph" w:styleId="TOC3">
    <w:name w:val="toc 3"/>
    <w:basedOn w:val="Normal"/>
    <w:next w:val="Normal"/>
    <w:autoRedefine/>
    <w:uiPriority w:val="39"/>
    <w:unhideWhenUsed/>
    <w:rsid w:val="00B23B77"/>
    <w:pPr>
      <w:spacing w:after="100"/>
      <w:ind w:left="440"/>
    </w:pPr>
  </w:style>
  <w:style w:type="character" w:styleId="Hyperlink">
    <w:name w:val="Hyperlink"/>
    <w:basedOn w:val="DefaultParagraphFont"/>
    <w:uiPriority w:val="99"/>
    <w:unhideWhenUsed/>
    <w:rsid w:val="00B23B77"/>
    <w:rPr>
      <w:color w:val="0563C1" w:themeColor="hyperlink"/>
      <w:u w:val="single"/>
    </w:rPr>
  </w:style>
  <w:style w:type="paragraph" w:styleId="Caption">
    <w:name w:val="caption"/>
    <w:basedOn w:val="Normal"/>
    <w:next w:val="Normal"/>
    <w:uiPriority w:val="35"/>
    <w:unhideWhenUsed/>
    <w:qFormat/>
    <w:rsid w:val="00AA5EA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600776">
      <w:bodyDiv w:val="1"/>
      <w:marLeft w:val="0"/>
      <w:marRight w:val="0"/>
      <w:marTop w:val="0"/>
      <w:marBottom w:val="0"/>
      <w:divBdr>
        <w:top w:val="none" w:sz="0" w:space="0" w:color="auto"/>
        <w:left w:val="none" w:sz="0" w:space="0" w:color="auto"/>
        <w:bottom w:val="none" w:sz="0" w:space="0" w:color="auto"/>
        <w:right w:val="none" w:sz="0" w:space="0" w:color="auto"/>
      </w:divBdr>
    </w:div>
    <w:div w:id="1160930315">
      <w:bodyDiv w:val="1"/>
      <w:marLeft w:val="0"/>
      <w:marRight w:val="0"/>
      <w:marTop w:val="0"/>
      <w:marBottom w:val="0"/>
      <w:divBdr>
        <w:top w:val="none" w:sz="0" w:space="0" w:color="auto"/>
        <w:left w:val="none" w:sz="0" w:space="0" w:color="auto"/>
        <w:bottom w:val="none" w:sz="0" w:space="0" w:color="auto"/>
        <w:right w:val="none" w:sz="0" w:space="0" w:color="auto"/>
      </w:divBdr>
    </w:div>
    <w:div w:id="1891843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9F78F-E9C9-49B2-9FE3-1B0A90ADB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3016</TotalTime>
  <Pages>1</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Austyn Nagribianko</dc:creator>
  <cp:keywords/>
  <dc:description/>
  <cp:lastModifiedBy>Austyn Nagribianko</cp:lastModifiedBy>
  <cp:revision>10</cp:revision>
  <cp:lastPrinted>2020-01-23T17:34:00Z</cp:lastPrinted>
  <dcterms:created xsi:type="dcterms:W3CDTF">2016-11-15T22:19:00Z</dcterms:created>
  <dcterms:modified xsi:type="dcterms:W3CDTF">2020-01-23T17:34:00Z</dcterms:modified>
</cp:coreProperties>
</file>